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A" w:rsidRDefault="00A670DA" w:rsidP="00ED23CA">
      <w:pPr>
        <w:spacing w:line="280" w:lineRule="exact"/>
        <w:ind w:firstLine="4820"/>
        <w:jc w:val="right"/>
        <w:rPr>
          <w:b/>
          <w:bCs/>
        </w:rPr>
      </w:pPr>
      <w:bookmarkStart w:id="0" w:name="_GoBack"/>
      <w:bookmarkEnd w:id="0"/>
    </w:p>
    <w:p w:rsidR="00EE3874" w:rsidRPr="00D2128B" w:rsidRDefault="00D2128B" w:rsidP="00EE3874">
      <w:pPr>
        <w:spacing w:line="280" w:lineRule="exact"/>
        <w:ind w:firstLine="4536"/>
        <w:jc w:val="both"/>
        <w:rPr>
          <w:b/>
          <w:bCs/>
        </w:rPr>
      </w:pPr>
      <w:r w:rsidRPr="003E39CA">
        <w:rPr>
          <w:b/>
          <w:bCs/>
        </w:rPr>
        <w:t>УТВЕРЖДЕН</w:t>
      </w:r>
      <w:r>
        <w:rPr>
          <w:b/>
          <w:bCs/>
        </w:rPr>
        <w:t>Ы</w:t>
      </w:r>
    </w:p>
    <w:p w:rsidR="00EE3874" w:rsidRPr="005C198C" w:rsidRDefault="00EE3874" w:rsidP="00EE3874">
      <w:pPr>
        <w:spacing w:line="280" w:lineRule="exact"/>
        <w:ind w:firstLine="4536"/>
        <w:jc w:val="both"/>
        <w:rPr>
          <w:b/>
          <w:bCs/>
          <w:sz w:val="22"/>
          <w:szCs w:val="22"/>
        </w:rPr>
      </w:pPr>
      <w:r w:rsidRPr="005C198C">
        <w:rPr>
          <w:b/>
          <w:bCs/>
          <w:sz w:val="22"/>
          <w:szCs w:val="22"/>
        </w:rPr>
        <w:t xml:space="preserve">Приказом </w:t>
      </w:r>
      <w:r w:rsidR="006D389A">
        <w:rPr>
          <w:b/>
          <w:bCs/>
          <w:sz w:val="22"/>
          <w:szCs w:val="22"/>
        </w:rPr>
        <w:t xml:space="preserve"> </w:t>
      </w:r>
      <w:r w:rsidRPr="005C198C">
        <w:rPr>
          <w:b/>
          <w:bCs/>
          <w:sz w:val="22"/>
          <w:szCs w:val="22"/>
        </w:rPr>
        <w:t>Генерального директора</w:t>
      </w:r>
    </w:p>
    <w:p w:rsidR="00C4602B" w:rsidRPr="005C198C" w:rsidRDefault="00EE3874" w:rsidP="00EE3874">
      <w:pPr>
        <w:spacing w:line="280" w:lineRule="exact"/>
        <w:ind w:firstLine="4536"/>
        <w:jc w:val="both"/>
        <w:rPr>
          <w:b/>
          <w:bCs/>
          <w:sz w:val="22"/>
          <w:szCs w:val="22"/>
        </w:rPr>
      </w:pPr>
      <w:r w:rsidRPr="005C198C">
        <w:rPr>
          <w:b/>
          <w:bCs/>
          <w:sz w:val="22"/>
          <w:szCs w:val="22"/>
        </w:rPr>
        <w:t xml:space="preserve">ТКБ Инвестмент Партнерс (АО) </w:t>
      </w:r>
    </w:p>
    <w:p w:rsidR="00EE3874" w:rsidRPr="005C198C" w:rsidRDefault="003C0764" w:rsidP="00EE3874">
      <w:pPr>
        <w:spacing w:line="280" w:lineRule="exact"/>
        <w:ind w:firstLine="4536"/>
        <w:jc w:val="both"/>
        <w:rPr>
          <w:b/>
          <w:bCs/>
          <w:sz w:val="22"/>
          <w:szCs w:val="22"/>
        </w:rPr>
      </w:pPr>
      <w:r>
        <w:rPr>
          <w:b/>
          <w:bCs/>
          <w:sz w:val="22"/>
          <w:szCs w:val="22"/>
        </w:rPr>
        <w:t>Кириллова В.Е.</w:t>
      </w:r>
    </w:p>
    <w:p w:rsidR="00EE3874" w:rsidRPr="005C198C" w:rsidRDefault="00EB0BB8" w:rsidP="00EE3874">
      <w:pPr>
        <w:spacing w:line="280" w:lineRule="exact"/>
        <w:ind w:firstLine="4536"/>
        <w:jc w:val="both"/>
        <w:rPr>
          <w:b/>
          <w:bCs/>
          <w:sz w:val="22"/>
          <w:szCs w:val="22"/>
        </w:rPr>
      </w:pPr>
      <w:r>
        <w:rPr>
          <w:b/>
          <w:bCs/>
          <w:sz w:val="22"/>
          <w:szCs w:val="22"/>
        </w:rPr>
        <w:t xml:space="preserve"> </w:t>
      </w:r>
      <w:r w:rsidR="00BE3BD1" w:rsidRPr="005C198C">
        <w:rPr>
          <w:b/>
          <w:bCs/>
          <w:sz w:val="22"/>
          <w:szCs w:val="22"/>
        </w:rPr>
        <w:t>о</w:t>
      </w:r>
      <w:r w:rsidR="00EE3874" w:rsidRPr="005C198C">
        <w:rPr>
          <w:b/>
          <w:bCs/>
          <w:sz w:val="22"/>
          <w:szCs w:val="22"/>
        </w:rPr>
        <w:t>т «</w:t>
      </w:r>
      <w:r w:rsidR="009D34CA">
        <w:rPr>
          <w:b/>
          <w:bCs/>
          <w:sz w:val="22"/>
          <w:szCs w:val="22"/>
        </w:rPr>
        <w:t>___</w:t>
      </w:r>
      <w:r w:rsidR="00EE3874" w:rsidRPr="005C198C">
        <w:rPr>
          <w:b/>
          <w:bCs/>
          <w:sz w:val="22"/>
          <w:szCs w:val="22"/>
        </w:rPr>
        <w:t>»</w:t>
      </w:r>
      <w:r>
        <w:rPr>
          <w:b/>
          <w:bCs/>
          <w:sz w:val="22"/>
          <w:szCs w:val="22"/>
        </w:rPr>
        <w:t xml:space="preserve"> </w:t>
      </w:r>
      <w:r w:rsidR="009D34CA">
        <w:rPr>
          <w:b/>
          <w:bCs/>
          <w:sz w:val="22"/>
          <w:szCs w:val="22"/>
        </w:rPr>
        <w:t>______</w:t>
      </w:r>
      <w:r w:rsidR="00BE3BD1" w:rsidRPr="005C198C">
        <w:rPr>
          <w:b/>
          <w:bCs/>
          <w:sz w:val="22"/>
          <w:szCs w:val="22"/>
        </w:rPr>
        <w:t xml:space="preserve"> </w:t>
      </w:r>
      <w:r w:rsidR="00EE3874" w:rsidRPr="005C198C">
        <w:rPr>
          <w:b/>
          <w:bCs/>
          <w:sz w:val="22"/>
          <w:szCs w:val="22"/>
        </w:rPr>
        <w:t>20</w:t>
      </w:r>
      <w:r w:rsidR="009D34CA">
        <w:rPr>
          <w:b/>
          <w:bCs/>
          <w:sz w:val="22"/>
          <w:szCs w:val="22"/>
        </w:rPr>
        <w:t>20</w:t>
      </w:r>
      <w:r w:rsidR="00EE3874" w:rsidRPr="005C198C">
        <w:rPr>
          <w:b/>
          <w:bCs/>
          <w:sz w:val="22"/>
          <w:szCs w:val="22"/>
        </w:rPr>
        <w:t xml:space="preserve"> г.</w:t>
      </w:r>
      <w:r w:rsidR="00BE3BD1" w:rsidRPr="005C198C">
        <w:rPr>
          <w:b/>
          <w:bCs/>
          <w:sz w:val="22"/>
          <w:szCs w:val="22"/>
        </w:rPr>
        <w:t xml:space="preserve"> №</w:t>
      </w:r>
      <w:r w:rsidR="00792D74">
        <w:rPr>
          <w:b/>
          <w:bCs/>
          <w:sz w:val="22"/>
          <w:szCs w:val="22"/>
        </w:rPr>
        <w:t xml:space="preserve"> </w:t>
      </w:r>
      <w:r w:rsidR="009D34CA">
        <w:rPr>
          <w:b/>
          <w:bCs/>
          <w:sz w:val="22"/>
          <w:szCs w:val="22"/>
        </w:rPr>
        <w:t>___</w:t>
      </w:r>
    </w:p>
    <w:p w:rsidR="00EE3874" w:rsidRPr="00B76C8B" w:rsidRDefault="00EE3874" w:rsidP="00EE3874">
      <w:pPr>
        <w:ind w:firstLine="4536"/>
        <w:jc w:val="center"/>
        <w:rPr>
          <w:bCs/>
          <w:sz w:val="22"/>
          <w:szCs w:val="22"/>
        </w:rPr>
      </w:pPr>
    </w:p>
    <w:p w:rsidR="00064F9B" w:rsidRPr="00064F9B" w:rsidRDefault="00064F9B" w:rsidP="00064F9B">
      <w:pPr>
        <w:jc w:val="center"/>
        <w:rPr>
          <w:b/>
          <w:bCs/>
          <w:sz w:val="22"/>
          <w:szCs w:val="22"/>
        </w:rPr>
      </w:pPr>
    </w:p>
    <w:p w:rsidR="00064F9B" w:rsidRPr="001763F5" w:rsidRDefault="00A670DA" w:rsidP="00064F9B">
      <w:pPr>
        <w:jc w:val="center"/>
        <w:rPr>
          <w:b/>
          <w:bCs/>
          <w:sz w:val="22"/>
          <w:szCs w:val="22"/>
        </w:rPr>
      </w:pPr>
      <w:r w:rsidRPr="00A670DA">
        <w:rPr>
          <w:b/>
          <w:bCs/>
          <w:sz w:val="22"/>
          <w:szCs w:val="22"/>
        </w:rPr>
        <w:t xml:space="preserve">Изменения и дополнения </w:t>
      </w:r>
      <w:r w:rsidR="00064F9B" w:rsidRPr="00064F9B">
        <w:rPr>
          <w:b/>
          <w:bCs/>
          <w:sz w:val="22"/>
          <w:szCs w:val="22"/>
        </w:rPr>
        <w:t xml:space="preserve">№ </w:t>
      </w:r>
      <w:r w:rsidR="00D2128B">
        <w:rPr>
          <w:b/>
          <w:bCs/>
          <w:sz w:val="22"/>
          <w:szCs w:val="22"/>
        </w:rPr>
        <w:t>0</w:t>
      </w:r>
      <w:r w:rsidR="009D34CA">
        <w:rPr>
          <w:b/>
          <w:bCs/>
          <w:sz w:val="22"/>
          <w:szCs w:val="22"/>
        </w:rPr>
        <w:t>8</w:t>
      </w:r>
    </w:p>
    <w:p w:rsidR="00064F9B" w:rsidRPr="00064F9B" w:rsidRDefault="00A670DA" w:rsidP="00064F9B">
      <w:pPr>
        <w:jc w:val="center"/>
        <w:rPr>
          <w:b/>
          <w:bCs/>
          <w:sz w:val="22"/>
          <w:szCs w:val="22"/>
        </w:rPr>
      </w:pPr>
      <w:r w:rsidRPr="00A670DA">
        <w:rPr>
          <w:b/>
          <w:bCs/>
          <w:sz w:val="22"/>
          <w:szCs w:val="22"/>
        </w:rPr>
        <w:t xml:space="preserve">в </w:t>
      </w:r>
      <w:r w:rsidR="00D2128B">
        <w:rPr>
          <w:b/>
          <w:bCs/>
          <w:sz w:val="22"/>
          <w:szCs w:val="22"/>
        </w:rPr>
        <w:t>П</w:t>
      </w:r>
      <w:r w:rsidR="00D2128B" w:rsidRPr="00A670DA">
        <w:rPr>
          <w:b/>
          <w:bCs/>
          <w:sz w:val="22"/>
          <w:szCs w:val="22"/>
        </w:rPr>
        <w:t xml:space="preserve">равила </w:t>
      </w:r>
      <w:r w:rsidRPr="00A670DA">
        <w:rPr>
          <w:b/>
          <w:bCs/>
          <w:sz w:val="22"/>
          <w:szCs w:val="22"/>
        </w:rPr>
        <w:t>доверительного управления</w:t>
      </w:r>
    </w:p>
    <w:p w:rsidR="009C7D15" w:rsidRPr="009C7D15" w:rsidRDefault="009C7D15" w:rsidP="009C7D15">
      <w:pPr>
        <w:jc w:val="center"/>
        <w:rPr>
          <w:b/>
          <w:bCs/>
          <w:sz w:val="22"/>
          <w:szCs w:val="22"/>
        </w:rPr>
      </w:pPr>
      <w:r w:rsidRPr="009C7D15">
        <w:rPr>
          <w:b/>
          <w:bCs/>
          <w:sz w:val="22"/>
          <w:szCs w:val="22"/>
        </w:rPr>
        <w:t xml:space="preserve">Интервальным паевым инвестиционным </w:t>
      </w:r>
      <w:r w:rsidR="003B1D86">
        <w:rPr>
          <w:b/>
          <w:bCs/>
          <w:sz w:val="22"/>
          <w:szCs w:val="22"/>
        </w:rPr>
        <w:t xml:space="preserve">комбинированным </w:t>
      </w:r>
      <w:r w:rsidRPr="009C7D15">
        <w:rPr>
          <w:b/>
          <w:bCs/>
          <w:sz w:val="22"/>
          <w:szCs w:val="22"/>
        </w:rPr>
        <w:t>фондом</w:t>
      </w:r>
    </w:p>
    <w:p w:rsidR="00064F9B" w:rsidRDefault="009C7D15" w:rsidP="009C7D15">
      <w:pPr>
        <w:jc w:val="center"/>
        <w:rPr>
          <w:b/>
          <w:bCs/>
          <w:sz w:val="22"/>
          <w:szCs w:val="22"/>
        </w:rPr>
      </w:pPr>
      <w:r w:rsidRPr="009C7D15">
        <w:rPr>
          <w:b/>
          <w:bCs/>
          <w:sz w:val="22"/>
          <w:szCs w:val="22"/>
        </w:rPr>
        <w:t xml:space="preserve"> «ТКБ Инвестмент Партнерс – Хеджевый фонд»</w:t>
      </w:r>
    </w:p>
    <w:p w:rsidR="00D2128B" w:rsidRPr="00064F9B" w:rsidRDefault="00D2128B" w:rsidP="009C7D15">
      <w:pPr>
        <w:jc w:val="center"/>
        <w:rPr>
          <w:b/>
          <w:bCs/>
          <w:sz w:val="22"/>
          <w:szCs w:val="22"/>
        </w:rPr>
      </w:pPr>
    </w:p>
    <w:p w:rsidR="00E0403F" w:rsidRPr="00E0403F" w:rsidRDefault="00E0403F" w:rsidP="00E0403F">
      <w:pPr>
        <w:jc w:val="center"/>
        <w:rPr>
          <w:b/>
          <w:bCs/>
          <w:sz w:val="22"/>
          <w:szCs w:val="22"/>
        </w:rPr>
      </w:pPr>
    </w:p>
    <w:p w:rsidR="00064F9B" w:rsidRPr="00AA5DD4" w:rsidRDefault="00E0403F" w:rsidP="00F070F2">
      <w:pPr>
        <w:ind w:left="-709" w:firstLine="709"/>
        <w:jc w:val="both"/>
        <w:rPr>
          <w:bCs/>
          <w:sz w:val="22"/>
          <w:szCs w:val="22"/>
        </w:rPr>
      </w:pPr>
      <w:r w:rsidRPr="00AA5DD4">
        <w:rPr>
          <w:bCs/>
          <w:sz w:val="22"/>
          <w:szCs w:val="22"/>
        </w:rPr>
        <w:t xml:space="preserve">Внести в Правила доверительного управления </w:t>
      </w:r>
      <w:r w:rsidR="009C7D15" w:rsidRPr="00AA5DD4">
        <w:rPr>
          <w:bCs/>
          <w:sz w:val="22"/>
          <w:szCs w:val="22"/>
        </w:rPr>
        <w:t xml:space="preserve">Интервальным паевым инвестиционным </w:t>
      </w:r>
      <w:r w:rsidR="003B1D86">
        <w:rPr>
          <w:bCs/>
          <w:sz w:val="22"/>
          <w:szCs w:val="22"/>
        </w:rPr>
        <w:t xml:space="preserve">комбинированным </w:t>
      </w:r>
      <w:r w:rsidR="009C7D15" w:rsidRPr="00AA5DD4">
        <w:rPr>
          <w:bCs/>
          <w:sz w:val="22"/>
          <w:szCs w:val="22"/>
        </w:rPr>
        <w:t>фондом</w:t>
      </w:r>
      <w:r w:rsidRPr="00AA5DD4">
        <w:rPr>
          <w:bCs/>
          <w:sz w:val="22"/>
          <w:szCs w:val="22"/>
        </w:rPr>
        <w:t xml:space="preserve"> «</w:t>
      </w:r>
      <w:r w:rsidR="009C7D15" w:rsidRPr="00AA5DD4">
        <w:rPr>
          <w:bCs/>
          <w:sz w:val="22"/>
          <w:szCs w:val="22"/>
        </w:rPr>
        <w:t>ТКБ Инвестмент Партнерс – Хеджевый фонд</w:t>
      </w:r>
      <w:r w:rsidRPr="00AA5DD4">
        <w:rPr>
          <w:bCs/>
          <w:sz w:val="22"/>
          <w:szCs w:val="22"/>
        </w:rPr>
        <w:t xml:space="preserve">», зарегистрированные </w:t>
      </w:r>
      <w:r w:rsidR="009C7D15" w:rsidRPr="00AA5DD4">
        <w:rPr>
          <w:bCs/>
          <w:sz w:val="22"/>
          <w:szCs w:val="22"/>
        </w:rPr>
        <w:t>ФСФ</w:t>
      </w:r>
      <w:r w:rsidR="00AA5DD4">
        <w:rPr>
          <w:bCs/>
          <w:sz w:val="22"/>
          <w:szCs w:val="22"/>
        </w:rPr>
        <w:t>Р России 16 апреля 2013 г. за №</w:t>
      </w:r>
      <w:r w:rsidR="009C7D15" w:rsidRPr="00AA5DD4">
        <w:rPr>
          <w:bCs/>
          <w:sz w:val="22"/>
          <w:szCs w:val="22"/>
        </w:rPr>
        <w:t>2584</w:t>
      </w:r>
      <w:r w:rsidRPr="00AA5DD4">
        <w:rPr>
          <w:bCs/>
          <w:sz w:val="22"/>
          <w:szCs w:val="22"/>
        </w:rPr>
        <w:t>, следующие изменения и дополнения:</w:t>
      </w:r>
    </w:p>
    <w:p w:rsidR="00D2128B" w:rsidRPr="009C7D15" w:rsidRDefault="00D2128B" w:rsidP="00686A9F">
      <w:pPr>
        <w:ind w:left="-709"/>
        <w:jc w:val="both"/>
        <w:rPr>
          <w:bCs/>
          <w:sz w:val="20"/>
          <w:szCs w:val="20"/>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993"/>
        <w:gridCol w:w="4252"/>
        <w:gridCol w:w="4536"/>
      </w:tblGrid>
      <w:tr w:rsidR="001C78CA" w:rsidRPr="005F7CA0" w:rsidTr="001B1E93">
        <w:trPr>
          <w:trHeight w:val="544"/>
        </w:trPr>
        <w:tc>
          <w:tcPr>
            <w:tcW w:w="567" w:type="dxa"/>
            <w:tcBorders>
              <w:bottom w:val="single" w:sz="4" w:space="0" w:color="auto"/>
            </w:tcBorders>
            <w:shd w:val="clear" w:color="auto" w:fill="F2F2F2" w:themeFill="background1" w:themeFillShade="F2"/>
          </w:tcPr>
          <w:p w:rsidR="001C78CA" w:rsidRPr="005F7CA0" w:rsidRDefault="001C78CA" w:rsidP="00A523BB">
            <w:pPr>
              <w:pStyle w:val="prg3"/>
              <w:numPr>
                <w:ilvl w:val="0"/>
                <w:numId w:val="0"/>
              </w:numPr>
              <w:spacing w:line="280" w:lineRule="exact"/>
              <w:jc w:val="center"/>
              <w:rPr>
                <w:rFonts w:ascii="Times New Roman" w:hAnsi="Times New Roman" w:cs="Times New Roman"/>
                <w:kern w:val="0"/>
              </w:rPr>
            </w:pPr>
            <w:r w:rsidRPr="005F7CA0">
              <w:rPr>
                <w:rFonts w:ascii="Times New Roman" w:hAnsi="Times New Roman" w:cs="Times New Roman"/>
                <w:kern w:val="0"/>
              </w:rPr>
              <w:t>№ п/п</w:t>
            </w:r>
          </w:p>
        </w:tc>
        <w:tc>
          <w:tcPr>
            <w:tcW w:w="993" w:type="dxa"/>
            <w:tcBorders>
              <w:bottom w:val="single" w:sz="4" w:space="0" w:color="auto"/>
            </w:tcBorders>
            <w:shd w:val="clear" w:color="auto" w:fill="F2F2F2" w:themeFill="background1" w:themeFillShade="F2"/>
          </w:tcPr>
          <w:p w:rsidR="001C78CA" w:rsidRPr="005F7CA0" w:rsidRDefault="001C78CA" w:rsidP="001C78CA">
            <w:pPr>
              <w:jc w:val="center"/>
              <w:rPr>
                <w:sz w:val="20"/>
                <w:szCs w:val="20"/>
              </w:rPr>
            </w:pPr>
            <w:r w:rsidRPr="005F7CA0">
              <w:rPr>
                <w:sz w:val="20"/>
                <w:szCs w:val="20"/>
              </w:rPr>
              <w:t>Номер редакти-руемого</w:t>
            </w:r>
          </w:p>
          <w:p w:rsidR="001C78CA" w:rsidRPr="005F7CA0" w:rsidRDefault="001C78CA" w:rsidP="001C78CA">
            <w:pPr>
              <w:pStyle w:val="prg3"/>
              <w:numPr>
                <w:ilvl w:val="0"/>
                <w:numId w:val="0"/>
              </w:numPr>
              <w:jc w:val="center"/>
              <w:rPr>
                <w:rFonts w:ascii="Times New Roman" w:hAnsi="Times New Roman" w:cs="Times New Roman"/>
                <w:kern w:val="0"/>
              </w:rPr>
            </w:pPr>
            <w:r w:rsidRPr="005F7CA0">
              <w:rPr>
                <w:rFonts w:ascii="Times New Roman" w:hAnsi="Times New Roman" w:cs="Times New Roman"/>
              </w:rPr>
              <w:t>пункта</w:t>
            </w:r>
          </w:p>
        </w:tc>
        <w:tc>
          <w:tcPr>
            <w:tcW w:w="4252" w:type="dxa"/>
            <w:tcBorders>
              <w:bottom w:val="single" w:sz="4" w:space="0" w:color="auto"/>
            </w:tcBorders>
            <w:shd w:val="clear" w:color="auto" w:fill="F2F2F2" w:themeFill="background1" w:themeFillShade="F2"/>
            <w:vAlign w:val="center"/>
          </w:tcPr>
          <w:p w:rsidR="001C78CA" w:rsidRPr="005F7CA0" w:rsidRDefault="001C78CA" w:rsidP="001B1E93">
            <w:pPr>
              <w:jc w:val="center"/>
              <w:rPr>
                <w:sz w:val="20"/>
                <w:szCs w:val="20"/>
              </w:rPr>
            </w:pPr>
            <w:r w:rsidRPr="005F7CA0">
              <w:rPr>
                <w:sz w:val="20"/>
                <w:szCs w:val="20"/>
              </w:rPr>
              <w:t>Пункт в прежней редакции</w:t>
            </w:r>
          </w:p>
        </w:tc>
        <w:tc>
          <w:tcPr>
            <w:tcW w:w="4536" w:type="dxa"/>
            <w:tcBorders>
              <w:bottom w:val="single" w:sz="4" w:space="0" w:color="auto"/>
            </w:tcBorders>
            <w:shd w:val="clear" w:color="auto" w:fill="F2F2F2" w:themeFill="background1" w:themeFillShade="F2"/>
            <w:vAlign w:val="center"/>
          </w:tcPr>
          <w:p w:rsidR="001C78CA" w:rsidRPr="005F7CA0" w:rsidRDefault="001C78CA" w:rsidP="001B1E93">
            <w:pPr>
              <w:pStyle w:val="prg3"/>
              <w:numPr>
                <w:ilvl w:val="0"/>
                <w:numId w:val="0"/>
              </w:numPr>
              <w:spacing w:line="280" w:lineRule="exact"/>
              <w:jc w:val="center"/>
              <w:rPr>
                <w:rFonts w:ascii="Times New Roman" w:hAnsi="Times New Roman" w:cs="Times New Roman"/>
                <w:kern w:val="0"/>
              </w:rPr>
            </w:pPr>
            <w:r w:rsidRPr="005F7CA0">
              <w:rPr>
                <w:rFonts w:ascii="Times New Roman" w:hAnsi="Times New Roman" w:cs="Times New Roman"/>
                <w:kern w:val="0"/>
              </w:rPr>
              <w:t>Пункт в новой редакции</w:t>
            </w:r>
          </w:p>
        </w:tc>
      </w:tr>
      <w:tr w:rsidR="008C178F" w:rsidRPr="005F7CA0" w:rsidTr="00893302">
        <w:trPr>
          <w:trHeight w:val="544"/>
        </w:trPr>
        <w:tc>
          <w:tcPr>
            <w:tcW w:w="567" w:type="dxa"/>
          </w:tcPr>
          <w:p w:rsidR="008C178F" w:rsidDel="004D53E0" w:rsidRDefault="00D740B5" w:rsidP="008C178F">
            <w:pPr>
              <w:jc w:val="center"/>
              <w:rPr>
                <w:sz w:val="20"/>
                <w:szCs w:val="20"/>
              </w:rPr>
            </w:pPr>
            <w:r>
              <w:rPr>
                <w:sz w:val="20"/>
                <w:szCs w:val="20"/>
              </w:rPr>
              <w:t>1</w:t>
            </w:r>
          </w:p>
        </w:tc>
        <w:tc>
          <w:tcPr>
            <w:tcW w:w="993" w:type="dxa"/>
          </w:tcPr>
          <w:p w:rsidR="008C178F" w:rsidRDefault="00D740B5" w:rsidP="008C178F">
            <w:pPr>
              <w:jc w:val="center"/>
              <w:rPr>
                <w:sz w:val="20"/>
                <w:szCs w:val="20"/>
              </w:rPr>
            </w:pPr>
            <w:r>
              <w:rPr>
                <w:sz w:val="20"/>
                <w:szCs w:val="20"/>
              </w:rPr>
              <w:t>16.1.</w:t>
            </w:r>
          </w:p>
        </w:tc>
        <w:tc>
          <w:tcPr>
            <w:tcW w:w="4252" w:type="dxa"/>
          </w:tcPr>
          <w:p w:rsidR="008C178F" w:rsidRPr="001A4C53" w:rsidRDefault="00D740B5" w:rsidP="008C178F">
            <w:pPr>
              <w:widowControl w:val="0"/>
              <w:autoSpaceDE w:val="0"/>
              <w:autoSpaceDN w:val="0"/>
              <w:adjustRightInd w:val="0"/>
              <w:spacing w:before="20" w:after="120" w:line="240" w:lineRule="exact"/>
              <w:ind w:firstLine="567"/>
              <w:jc w:val="both"/>
              <w:rPr>
                <w:sz w:val="20"/>
                <w:szCs w:val="20"/>
              </w:rPr>
            </w:pPr>
            <w:r w:rsidRPr="001A4C53">
              <w:rPr>
                <w:sz w:val="20"/>
                <w:szCs w:val="20"/>
              </w:rPr>
              <w:t>Акционерное общество «РАМБЛЕР»</w:t>
            </w:r>
            <w:r w:rsidR="00607B91">
              <w:rPr>
                <w:sz w:val="20"/>
                <w:szCs w:val="20"/>
              </w:rPr>
              <w:t>;</w:t>
            </w:r>
          </w:p>
        </w:tc>
        <w:tc>
          <w:tcPr>
            <w:tcW w:w="4536" w:type="dxa"/>
          </w:tcPr>
          <w:p w:rsidR="008C178F" w:rsidRPr="00A275AD" w:rsidRDefault="00D740B5" w:rsidP="008C178F">
            <w:pPr>
              <w:widowControl w:val="0"/>
              <w:autoSpaceDE w:val="0"/>
              <w:autoSpaceDN w:val="0"/>
              <w:adjustRightInd w:val="0"/>
              <w:spacing w:before="20" w:after="120" w:line="240" w:lineRule="exact"/>
              <w:ind w:firstLine="567"/>
              <w:jc w:val="both"/>
              <w:rPr>
                <w:sz w:val="20"/>
                <w:szCs w:val="20"/>
              </w:rPr>
            </w:pPr>
            <w:r>
              <w:rPr>
                <w:sz w:val="20"/>
                <w:szCs w:val="20"/>
              </w:rPr>
              <w:t>Исключен</w:t>
            </w:r>
            <w:r w:rsidR="00607B91">
              <w:rPr>
                <w:sz w:val="20"/>
                <w:szCs w:val="20"/>
              </w:rPr>
              <w:t>;</w:t>
            </w:r>
          </w:p>
        </w:tc>
      </w:tr>
      <w:tr w:rsidR="004507B6" w:rsidRPr="004507B6" w:rsidTr="00893302">
        <w:trPr>
          <w:trHeight w:val="544"/>
        </w:trPr>
        <w:tc>
          <w:tcPr>
            <w:tcW w:w="567" w:type="dxa"/>
          </w:tcPr>
          <w:p w:rsidR="004507B6" w:rsidRPr="004507B6" w:rsidRDefault="004507B6" w:rsidP="008C178F">
            <w:pPr>
              <w:jc w:val="center"/>
              <w:rPr>
                <w:sz w:val="20"/>
                <w:szCs w:val="20"/>
              </w:rPr>
            </w:pPr>
            <w:r w:rsidRPr="004507B6">
              <w:rPr>
                <w:sz w:val="20"/>
                <w:szCs w:val="20"/>
              </w:rPr>
              <w:t>2</w:t>
            </w:r>
          </w:p>
        </w:tc>
        <w:tc>
          <w:tcPr>
            <w:tcW w:w="993" w:type="dxa"/>
          </w:tcPr>
          <w:p w:rsidR="004507B6" w:rsidRPr="004507B6" w:rsidRDefault="00DB5C82" w:rsidP="008C178F">
            <w:pPr>
              <w:jc w:val="center"/>
              <w:rPr>
                <w:sz w:val="20"/>
                <w:szCs w:val="20"/>
              </w:rPr>
            </w:pPr>
            <w:r>
              <w:rPr>
                <w:sz w:val="20"/>
                <w:szCs w:val="20"/>
              </w:rPr>
              <w:t>16.3.</w:t>
            </w:r>
          </w:p>
        </w:tc>
        <w:tc>
          <w:tcPr>
            <w:tcW w:w="4252" w:type="dxa"/>
          </w:tcPr>
          <w:p w:rsidR="004507B6" w:rsidRPr="00666B90" w:rsidRDefault="00DB5C82" w:rsidP="004507B6">
            <w:pPr>
              <w:pStyle w:val="ConsPlusNormal"/>
              <w:ind w:firstLine="567"/>
              <w:jc w:val="both"/>
              <w:rPr>
                <w:rFonts w:ascii="Times New Roman" w:hAnsi="Times New Roman" w:cs="Times New Roman"/>
              </w:rPr>
            </w:pPr>
            <w:r w:rsidRPr="00666B90">
              <w:rPr>
                <w:rFonts w:ascii="Times New Roman" w:hAnsi="Times New Roman" w:cs="Times New Roman"/>
              </w:rPr>
              <w:t>16.3. Общество с ограниченной ответственностью «1 АРКА Консалтинг»</w:t>
            </w:r>
          </w:p>
          <w:p w:rsidR="004507B6" w:rsidRPr="00666B90" w:rsidRDefault="00DB5C82" w:rsidP="004507B6">
            <w:pPr>
              <w:pStyle w:val="ConsPlusNormal"/>
              <w:ind w:firstLine="567"/>
              <w:jc w:val="both"/>
              <w:rPr>
                <w:rFonts w:ascii="Times New Roman" w:hAnsi="Times New Roman" w:cs="Times New Roman"/>
                <w:b/>
                <w:bCs/>
              </w:rPr>
            </w:pPr>
            <w:r w:rsidRPr="00666B90">
              <w:rPr>
                <w:rFonts w:ascii="Times New Roman" w:hAnsi="Times New Roman" w:cs="Times New Roman"/>
              </w:rPr>
              <w:t>(далее каждый по отдельности - оценщик)</w:t>
            </w:r>
            <w:r w:rsidRPr="00666B90">
              <w:rPr>
                <w:rFonts w:ascii="Times New Roman" w:hAnsi="Times New Roman" w:cs="Times New Roman"/>
                <w:b/>
                <w:bCs/>
              </w:rPr>
              <w:t>.</w:t>
            </w:r>
          </w:p>
          <w:p w:rsidR="004507B6" w:rsidRPr="00666B90" w:rsidRDefault="004507B6" w:rsidP="008C178F">
            <w:pPr>
              <w:widowControl w:val="0"/>
              <w:autoSpaceDE w:val="0"/>
              <w:autoSpaceDN w:val="0"/>
              <w:adjustRightInd w:val="0"/>
              <w:spacing w:before="20" w:after="120" w:line="240" w:lineRule="exact"/>
              <w:ind w:firstLine="567"/>
              <w:jc w:val="both"/>
              <w:rPr>
                <w:sz w:val="20"/>
                <w:szCs w:val="20"/>
              </w:rPr>
            </w:pPr>
          </w:p>
        </w:tc>
        <w:tc>
          <w:tcPr>
            <w:tcW w:w="4536" w:type="dxa"/>
          </w:tcPr>
          <w:p w:rsidR="004507B6" w:rsidRPr="00666B90" w:rsidRDefault="00DB5C82" w:rsidP="004507B6">
            <w:pPr>
              <w:pStyle w:val="ConsPlusNormal"/>
              <w:ind w:firstLine="567"/>
              <w:jc w:val="both"/>
              <w:rPr>
                <w:rFonts w:ascii="Times New Roman" w:hAnsi="Times New Roman" w:cs="Times New Roman"/>
              </w:rPr>
            </w:pPr>
            <w:r w:rsidRPr="00666B90">
              <w:rPr>
                <w:rFonts w:ascii="Times New Roman" w:hAnsi="Times New Roman" w:cs="Times New Roman"/>
              </w:rPr>
              <w:t>16.3. Общество с ограниченной ответственностью «1 АРКА Консалтинг»</w:t>
            </w:r>
            <w:r w:rsidR="00607B91">
              <w:rPr>
                <w:rFonts w:ascii="Times New Roman" w:hAnsi="Times New Roman" w:cs="Times New Roman"/>
              </w:rPr>
              <w:t>;</w:t>
            </w:r>
          </w:p>
          <w:p w:rsidR="004507B6" w:rsidRPr="00666B90" w:rsidRDefault="004507B6" w:rsidP="004507B6">
            <w:pPr>
              <w:pStyle w:val="ConsPlusNormal"/>
              <w:ind w:firstLine="567"/>
              <w:jc w:val="both"/>
              <w:rPr>
                <w:rFonts w:ascii="Times New Roman" w:hAnsi="Times New Roman" w:cs="Times New Roman"/>
                <w:b/>
                <w:bCs/>
              </w:rPr>
            </w:pPr>
          </w:p>
          <w:p w:rsidR="004507B6" w:rsidRPr="004507B6" w:rsidRDefault="004507B6" w:rsidP="00E36068">
            <w:pPr>
              <w:ind w:right="-81"/>
              <w:rPr>
                <w:sz w:val="20"/>
                <w:szCs w:val="20"/>
              </w:rPr>
            </w:pPr>
          </w:p>
        </w:tc>
      </w:tr>
      <w:tr w:rsidR="006A7E0C" w:rsidRPr="005F7CA0" w:rsidTr="00893302">
        <w:trPr>
          <w:trHeight w:val="544"/>
        </w:trPr>
        <w:tc>
          <w:tcPr>
            <w:tcW w:w="567" w:type="dxa"/>
          </w:tcPr>
          <w:p w:rsidR="006A7E0C" w:rsidRPr="001A4C53" w:rsidRDefault="00F12289" w:rsidP="008C178F">
            <w:pPr>
              <w:jc w:val="center"/>
              <w:rPr>
                <w:sz w:val="20"/>
                <w:szCs w:val="20"/>
                <w:lang w:val="en-US"/>
              </w:rPr>
            </w:pPr>
            <w:r>
              <w:rPr>
                <w:sz w:val="20"/>
                <w:szCs w:val="20"/>
              </w:rPr>
              <w:t>3</w:t>
            </w:r>
          </w:p>
        </w:tc>
        <w:tc>
          <w:tcPr>
            <w:tcW w:w="993" w:type="dxa"/>
          </w:tcPr>
          <w:p w:rsidR="006A7E0C" w:rsidRDefault="006A7E0C" w:rsidP="008C178F">
            <w:pPr>
              <w:jc w:val="center"/>
              <w:rPr>
                <w:sz w:val="20"/>
                <w:szCs w:val="20"/>
              </w:rPr>
            </w:pPr>
            <w:r>
              <w:rPr>
                <w:sz w:val="20"/>
                <w:szCs w:val="20"/>
              </w:rPr>
              <w:t>16.4.</w:t>
            </w:r>
          </w:p>
        </w:tc>
        <w:tc>
          <w:tcPr>
            <w:tcW w:w="4252" w:type="dxa"/>
          </w:tcPr>
          <w:p w:rsidR="006A7E0C" w:rsidRDefault="006A7E0C" w:rsidP="008C178F">
            <w:pPr>
              <w:widowControl w:val="0"/>
              <w:autoSpaceDE w:val="0"/>
              <w:autoSpaceDN w:val="0"/>
              <w:adjustRightInd w:val="0"/>
              <w:spacing w:before="20" w:after="120" w:line="240" w:lineRule="exact"/>
              <w:ind w:firstLine="567"/>
              <w:jc w:val="both"/>
            </w:pPr>
          </w:p>
        </w:tc>
        <w:tc>
          <w:tcPr>
            <w:tcW w:w="4536" w:type="dxa"/>
          </w:tcPr>
          <w:p w:rsidR="00E36068" w:rsidRPr="00E36068" w:rsidRDefault="006A7E0C" w:rsidP="00E36068">
            <w:pPr>
              <w:ind w:right="-81"/>
              <w:rPr>
                <w:snapToGrid w:val="0"/>
              </w:rPr>
            </w:pPr>
            <w:r w:rsidRPr="006A7E0C">
              <w:rPr>
                <w:sz w:val="20"/>
                <w:szCs w:val="20"/>
              </w:rPr>
              <w:t>Закрытое акционерное общество «Центр независимой оценки»</w:t>
            </w:r>
            <w:r w:rsidR="00C1540F">
              <w:rPr>
                <w:sz w:val="20"/>
                <w:szCs w:val="20"/>
              </w:rPr>
              <w:t>.</w:t>
            </w:r>
          </w:p>
          <w:p w:rsidR="00AC0ED2" w:rsidRPr="00666B90" w:rsidRDefault="00DB5C82" w:rsidP="00666B90">
            <w:pPr>
              <w:pStyle w:val="ConsPlusNormal"/>
              <w:ind w:firstLine="0"/>
              <w:jc w:val="both"/>
              <w:rPr>
                <w:rFonts w:ascii="Times New Roman" w:hAnsi="Times New Roman" w:cs="Times New Roman"/>
              </w:rPr>
            </w:pPr>
            <w:r w:rsidRPr="00666B90">
              <w:rPr>
                <w:rFonts w:ascii="Times New Roman" w:hAnsi="Times New Roman" w:cs="Times New Roman"/>
              </w:rPr>
              <w:t>(далее каждый по отдельности - оценщик).</w:t>
            </w:r>
          </w:p>
          <w:p w:rsidR="006A7E0C" w:rsidRDefault="006A7E0C" w:rsidP="008C178F">
            <w:pPr>
              <w:widowControl w:val="0"/>
              <w:autoSpaceDE w:val="0"/>
              <w:autoSpaceDN w:val="0"/>
              <w:adjustRightInd w:val="0"/>
              <w:spacing w:before="20" w:after="120" w:line="240" w:lineRule="exact"/>
              <w:ind w:firstLine="567"/>
              <w:jc w:val="both"/>
              <w:rPr>
                <w:sz w:val="20"/>
                <w:szCs w:val="20"/>
              </w:rPr>
            </w:pPr>
          </w:p>
        </w:tc>
      </w:tr>
      <w:tr w:rsidR="00A275AD" w:rsidRPr="005F7CA0" w:rsidTr="00893302">
        <w:trPr>
          <w:trHeight w:val="544"/>
        </w:trPr>
        <w:tc>
          <w:tcPr>
            <w:tcW w:w="567" w:type="dxa"/>
          </w:tcPr>
          <w:p w:rsidR="00A275AD" w:rsidDel="004D53E0" w:rsidRDefault="00F12289" w:rsidP="00A275AD">
            <w:pPr>
              <w:jc w:val="center"/>
              <w:rPr>
                <w:sz w:val="20"/>
                <w:szCs w:val="20"/>
              </w:rPr>
            </w:pPr>
            <w:r>
              <w:rPr>
                <w:sz w:val="20"/>
                <w:szCs w:val="20"/>
              </w:rPr>
              <w:t>4</w:t>
            </w:r>
          </w:p>
        </w:tc>
        <w:tc>
          <w:tcPr>
            <w:tcW w:w="993" w:type="dxa"/>
          </w:tcPr>
          <w:p w:rsidR="00A275AD" w:rsidRDefault="00A275AD" w:rsidP="00A275AD">
            <w:pPr>
              <w:jc w:val="center"/>
              <w:rPr>
                <w:sz w:val="20"/>
                <w:szCs w:val="20"/>
              </w:rPr>
            </w:pPr>
            <w:r>
              <w:rPr>
                <w:sz w:val="20"/>
                <w:szCs w:val="20"/>
              </w:rPr>
              <w:t>17.1.</w:t>
            </w:r>
          </w:p>
        </w:tc>
        <w:tc>
          <w:tcPr>
            <w:tcW w:w="4252" w:type="dxa"/>
          </w:tcPr>
          <w:p w:rsidR="00A275AD" w:rsidRPr="00A275AD" w:rsidRDefault="00A275AD" w:rsidP="00A275AD">
            <w:pPr>
              <w:widowControl w:val="0"/>
              <w:autoSpaceDE w:val="0"/>
              <w:autoSpaceDN w:val="0"/>
              <w:adjustRightInd w:val="0"/>
              <w:spacing w:before="20" w:after="120" w:line="240" w:lineRule="exact"/>
              <w:ind w:firstLine="567"/>
              <w:jc w:val="both"/>
              <w:rPr>
                <w:sz w:val="20"/>
                <w:szCs w:val="20"/>
              </w:rPr>
            </w:pPr>
            <w:r w:rsidRPr="00A275AD">
              <w:rPr>
                <w:sz w:val="20"/>
                <w:szCs w:val="20"/>
              </w:rPr>
              <w:t>Акционерное общество «РАМБЛЕР»: Российская Федерация, 141090, Московская область, г. Королев, микрорайон Юбилейный, улица Ленинская, дом 12, пом. 017.</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Pr>
                <w:sz w:val="20"/>
                <w:szCs w:val="20"/>
              </w:rPr>
              <w:t>Исключен</w:t>
            </w:r>
            <w:r w:rsidR="00607B91">
              <w:rPr>
                <w:sz w:val="20"/>
                <w:szCs w:val="20"/>
              </w:rPr>
              <w:t>;</w:t>
            </w:r>
          </w:p>
        </w:tc>
      </w:tr>
      <w:tr w:rsidR="00A275AD" w:rsidRPr="005F7CA0" w:rsidTr="00893302">
        <w:trPr>
          <w:trHeight w:val="544"/>
        </w:trPr>
        <w:tc>
          <w:tcPr>
            <w:tcW w:w="567" w:type="dxa"/>
          </w:tcPr>
          <w:p w:rsidR="00A275AD" w:rsidDel="004D53E0" w:rsidRDefault="00F12289" w:rsidP="00A275AD">
            <w:pPr>
              <w:jc w:val="center"/>
              <w:rPr>
                <w:sz w:val="20"/>
                <w:szCs w:val="20"/>
              </w:rPr>
            </w:pPr>
            <w:r>
              <w:rPr>
                <w:sz w:val="20"/>
                <w:szCs w:val="20"/>
              </w:rPr>
              <w:t>5</w:t>
            </w:r>
          </w:p>
        </w:tc>
        <w:tc>
          <w:tcPr>
            <w:tcW w:w="993" w:type="dxa"/>
          </w:tcPr>
          <w:p w:rsidR="00A275AD" w:rsidRDefault="00A275AD" w:rsidP="00A275AD">
            <w:pPr>
              <w:jc w:val="center"/>
              <w:rPr>
                <w:sz w:val="20"/>
                <w:szCs w:val="20"/>
              </w:rPr>
            </w:pPr>
            <w:r w:rsidRPr="004D53E0">
              <w:rPr>
                <w:sz w:val="20"/>
                <w:szCs w:val="20"/>
              </w:rPr>
              <w:t>17.3.</w:t>
            </w:r>
          </w:p>
        </w:tc>
        <w:tc>
          <w:tcPr>
            <w:tcW w:w="4252" w:type="dxa"/>
          </w:tcPr>
          <w:p w:rsidR="00A275AD" w:rsidRPr="004D53E0" w:rsidRDefault="00A275AD" w:rsidP="00A275AD">
            <w:pPr>
              <w:widowControl w:val="0"/>
              <w:autoSpaceDE w:val="0"/>
              <w:autoSpaceDN w:val="0"/>
              <w:adjustRightInd w:val="0"/>
              <w:spacing w:before="20" w:after="120" w:line="240" w:lineRule="exact"/>
              <w:ind w:firstLine="567"/>
              <w:jc w:val="both"/>
              <w:rPr>
                <w:sz w:val="20"/>
                <w:szCs w:val="20"/>
              </w:rPr>
            </w:pPr>
            <w:r w:rsidRPr="004D53E0">
              <w:rPr>
                <w:sz w:val="20"/>
                <w:szCs w:val="20"/>
              </w:rPr>
              <w:t>Общество с ограниченной ответственностью «1 АРКА Консалтинг»: 197198, Российская Федерация, город Санкт-Петербург, улица Ропшинская, дом 1/32, литера А, помещение 10-Н, офис 31.</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4D53E0">
              <w:rPr>
                <w:sz w:val="20"/>
                <w:szCs w:val="20"/>
              </w:rPr>
              <w:t>Общество с ограниченной ответственно</w:t>
            </w:r>
            <w:r>
              <w:rPr>
                <w:sz w:val="20"/>
                <w:szCs w:val="20"/>
              </w:rPr>
              <w:t>стью «1 АРКА Консалтинг»: 197342</w:t>
            </w:r>
            <w:r w:rsidRPr="004D53E0">
              <w:rPr>
                <w:sz w:val="20"/>
                <w:szCs w:val="20"/>
              </w:rPr>
              <w:t xml:space="preserve">, Российская Федерация, город Санкт-Петербург, </w:t>
            </w:r>
            <w:r w:rsidRPr="00896BDE">
              <w:rPr>
                <w:b/>
                <w:sz w:val="20"/>
                <w:szCs w:val="20"/>
              </w:rPr>
              <w:t>улица Торжковская, дом 5, литер А, пом.15-Н, 27-Н комната 43, 44, 45, 46</w:t>
            </w:r>
            <w:r w:rsidR="00607B91">
              <w:rPr>
                <w:b/>
                <w:sz w:val="20"/>
                <w:szCs w:val="20"/>
              </w:rPr>
              <w:t>;</w:t>
            </w:r>
          </w:p>
        </w:tc>
      </w:tr>
      <w:tr w:rsidR="001A4C53" w:rsidRPr="005F7CA0" w:rsidTr="00893302">
        <w:trPr>
          <w:trHeight w:val="544"/>
        </w:trPr>
        <w:tc>
          <w:tcPr>
            <w:tcW w:w="567" w:type="dxa"/>
          </w:tcPr>
          <w:p w:rsidR="001A4C53" w:rsidRDefault="00F12289" w:rsidP="00A275AD">
            <w:pPr>
              <w:jc w:val="center"/>
              <w:rPr>
                <w:sz w:val="20"/>
                <w:szCs w:val="20"/>
              </w:rPr>
            </w:pPr>
            <w:r>
              <w:rPr>
                <w:sz w:val="20"/>
                <w:szCs w:val="20"/>
              </w:rPr>
              <w:t>6</w:t>
            </w:r>
          </w:p>
        </w:tc>
        <w:tc>
          <w:tcPr>
            <w:tcW w:w="993" w:type="dxa"/>
          </w:tcPr>
          <w:p w:rsidR="001A4C53" w:rsidRPr="004D53E0" w:rsidRDefault="001A4C53" w:rsidP="00A275AD">
            <w:pPr>
              <w:jc w:val="center"/>
              <w:rPr>
                <w:sz w:val="20"/>
                <w:szCs w:val="20"/>
              </w:rPr>
            </w:pPr>
            <w:r>
              <w:rPr>
                <w:sz w:val="20"/>
                <w:szCs w:val="20"/>
              </w:rPr>
              <w:t>17.4.</w:t>
            </w:r>
          </w:p>
        </w:tc>
        <w:tc>
          <w:tcPr>
            <w:tcW w:w="4252" w:type="dxa"/>
          </w:tcPr>
          <w:p w:rsidR="001A4C53" w:rsidRPr="004D53E0" w:rsidRDefault="001A4C53"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1A4C53" w:rsidRPr="001A4C53" w:rsidRDefault="001A4C53" w:rsidP="00A275AD">
            <w:pPr>
              <w:widowControl w:val="0"/>
              <w:autoSpaceDE w:val="0"/>
              <w:autoSpaceDN w:val="0"/>
              <w:adjustRightInd w:val="0"/>
              <w:spacing w:before="20" w:after="120" w:line="240" w:lineRule="exact"/>
              <w:ind w:firstLine="567"/>
              <w:jc w:val="both"/>
              <w:rPr>
                <w:sz w:val="20"/>
                <w:szCs w:val="20"/>
              </w:rPr>
            </w:pPr>
            <w:r w:rsidRPr="001A4C53">
              <w:rPr>
                <w:sz w:val="20"/>
                <w:szCs w:val="20"/>
              </w:rPr>
              <w:t>Закрытое акционерное общество «Центр независимой оценки»: 121099, г. Москва, переулок Прямой, д.3/4, стр.1.</w:t>
            </w:r>
          </w:p>
        </w:tc>
      </w:tr>
      <w:tr w:rsidR="00A275AD" w:rsidRPr="005F7CA0" w:rsidTr="00893302">
        <w:trPr>
          <w:trHeight w:val="544"/>
        </w:trPr>
        <w:tc>
          <w:tcPr>
            <w:tcW w:w="567" w:type="dxa"/>
          </w:tcPr>
          <w:p w:rsidR="00A275AD" w:rsidRPr="006A7E0C" w:rsidRDefault="00F12289" w:rsidP="00A275AD">
            <w:pPr>
              <w:jc w:val="center"/>
              <w:rPr>
                <w:sz w:val="20"/>
                <w:szCs w:val="20"/>
                <w:lang w:val="en-US"/>
              </w:rPr>
            </w:pPr>
            <w:r>
              <w:rPr>
                <w:sz w:val="20"/>
                <w:szCs w:val="20"/>
              </w:rPr>
              <w:t>7</w:t>
            </w:r>
          </w:p>
        </w:tc>
        <w:tc>
          <w:tcPr>
            <w:tcW w:w="993" w:type="dxa"/>
          </w:tcPr>
          <w:p w:rsidR="00A275AD" w:rsidRPr="00201702" w:rsidRDefault="00A275AD" w:rsidP="00A275AD">
            <w:pPr>
              <w:jc w:val="center"/>
              <w:rPr>
                <w:sz w:val="20"/>
                <w:szCs w:val="20"/>
              </w:rPr>
            </w:pPr>
            <w:r>
              <w:rPr>
                <w:sz w:val="20"/>
                <w:szCs w:val="20"/>
              </w:rPr>
              <w:t>31.</w:t>
            </w:r>
          </w:p>
        </w:tc>
        <w:tc>
          <w:tcPr>
            <w:tcW w:w="4252"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31. Управляющая компания обязана:</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 xml:space="preserve">2) при осуществлении доверительного управления фондом действовать разумно и добросовестно в интересах владельцев </w:t>
            </w:r>
            <w:r w:rsidRPr="003C0764">
              <w:rPr>
                <w:sz w:val="20"/>
                <w:szCs w:val="20"/>
              </w:rPr>
              <w:lastRenderedPageBreak/>
              <w:t>инвестиционных паев;</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5) 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 Способ предоставления информации определяется управляющей компанией;</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6) раскрывать отчеты, требования к которым устанавливаются Банком России.</w:t>
            </w:r>
          </w:p>
          <w:p w:rsidR="00A275AD" w:rsidRDefault="00A275AD"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lastRenderedPageBreak/>
              <w:t>31. Управляющая компания обязана:</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A275AD" w:rsidRPr="003C0764" w:rsidRDefault="00A275AD" w:rsidP="00A275AD">
            <w:pPr>
              <w:widowControl w:val="0"/>
              <w:autoSpaceDE w:val="0"/>
              <w:autoSpaceDN w:val="0"/>
              <w:adjustRightInd w:val="0"/>
              <w:spacing w:before="20" w:after="120" w:line="240" w:lineRule="exact"/>
              <w:ind w:firstLine="567"/>
              <w:jc w:val="both"/>
              <w:rPr>
                <w:b/>
              </w:rPr>
            </w:pPr>
            <w:r>
              <w:rPr>
                <w:b/>
                <w:sz w:val="20"/>
                <w:szCs w:val="20"/>
              </w:rPr>
              <w:t xml:space="preserve">2) </w:t>
            </w:r>
            <w:r w:rsidRPr="003C0764">
              <w:rPr>
                <w:b/>
                <w:sz w:val="20"/>
                <w:szCs w:val="20"/>
              </w:rPr>
              <w:t xml:space="preserve">при осуществлении доверительного управления фондом выявлять конфликт интересов и управлять конфликтом интересов, </w:t>
            </w:r>
            <w:r w:rsidRPr="003C0764">
              <w:rPr>
                <w:b/>
                <w:sz w:val="20"/>
                <w:szCs w:val="20"/>
              </w:rPr>
              <w:lastRenderedPageBreak/>
              <w:t>в том числе путем предотвращения возникновения конфликта интересов и (или) раскрытия или предоставления информации о конфликте интересов;</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627CE9">
              <w:rPr>
                <w:b/>
                <w:sz w:val="20"/>
                <w:szCs w:val="20"/>
              </w:rPr>
              <w:t>3</w:t>
            </w:r>
            <w:r w:rsidRPr="003C0764">
              <w:rPr>
                <w:sz w:val="20"/>
                <w:szCs w:val="20"/>
              </w:rPr>
              <w:t>) при осуществлении доверительного управления фондом действовать разумно и добросовестно в интересах владельцев инвестиционных паев;</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627CE9">
              <w:rPr>
                <w:b/>
                <w:sz w:val="20"/>
                <w:szCs w:val="20"/>
              </w:rPr>
              <w:t>4</w:t>
            </w:r>
            <w:r w:rsidRPr="003C0764">
              <w:rPr>
                <w:sz w:val="20"/>
                <w:szCs w:val="20"/>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627CE9">
              <w:rPr>
                <w:b/>
                <w:sz w:val="20"/>
                <w:szCs w:val="20"/>
              </w:rPr>
              <w:t>5</w:t>
            </w:r>
            <w:r w:rsidRPr="003C0764">
              <w:rPr>
                <w:sz w:val="20"/>
                <w:szCs w:val="20"/>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627CE9">
              <w:rPr>
                <w:b/>
                <w:sz w:val="20"/>
                <w:szCs w:val="20"/>
              </w:rPr>
              <w:t>6</w:t>
            </w:r>
            <w:r w:rsidRPr="003C0764">
              <w:rPr>
                <w:sz w:val="20"/>
                <w:szCs w:val="20"/>
              </w:rPr>
              <w:t>) 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 Способ предоставления информации определяется управляющей компанией;</w:t>
            </w:r>
          </w:p>
          <w:p w:rsidR="00A275AD" w:rsidRDefault="00A275AD" w:rsidP="00A275AD">
            <w:pPr>
              <w:widowControl w:val="0"/>
              <w:autoSpaceDE w:val="0"/>
              <w:autoSpaceDN w:val="0"/>
              <w:adjustRightInd w:val="0"/>
              <w:spacing w:before="20" w:after="120" w:line="240" w:lineRule="exact"/>
              <w:ind w:firstLine="567"/>
              <w:jc w:val="both"/>
              <w:rPr>
                <w:sz w:val="20"/>
                <w:szCs w:val="20"/>
              </w:rPr>
            </w:pPr>
            <w:r w:rsidRPr="00627CE9">
              <w:rPr>
                <w:b/>
                <w:sz w:val="20"/>
                <w:szCs w:val="20"/>
              </w:rPr>
              <w:t>7</w:t>
            </w:r>
            <w:r w:rsidRPr="003C0764">
              <w:rPr>
                <w:sz w:val="20"/>
                <w:szCs w:val="20"/>
              </w:rPr>
              <w:t>) раскрывать отчеты, требования к которым устанавливаются Банком России.</w:t>
            </w:r>
          </w:p>
        </w:tc>
      </w:tr>
      <w:tr w:rsidR="00A275AD" w:rsidRPr="005F7CA0" w:rsidTr="00893302">
        <w:trPr>
          <w:trHeight w:val="544"/>
        </w:trPr>
        <w:tc>
          <w:tcPr>
            <w:tcW w:w="567" w:type="dxa"/>
          </w:tcPr>
          <w:p w:rsidR="00A275AD" w:rsidRPr="00201702" w:rsidRDefault="00F12289" w:rsidP="00A275AD">
            <w:pPr>
              <w:jc w:val="center"/>
              <w:rPr>
                <w:sz w:val="20"/>
                <w:szCs w:val="20"/>
              </w:rPr>
            </w:pPr>
            <w:r>
              <w:rPr>
                <w:sz w:val="20"/>
                <w:szCs w:val="20"/>
              </w:rPr>
              <w:lastRenderedPageBreak/>
              <w:t>8</w:t>
            </w:r>
          </w:p>
        </w:tc>
        <w:tc>
          <w:tcPr>
            <w:tcW w:w="993" w:type="dxa"/>
          </w:tcPr>
          <w:p w:rsidR="00A275AD" w:rsidRPr="00201702" w:rsidRDefault="00A275AD" w:rsidP="00A275AD">
            <w:pPr>
              <w:jc w:val="center"/>
              <w:rPr>
                <w:sz w:val="20"/>
                <w:szCs w:val="20"/>
              </w:rPr>
            </w:pPr>
            <w:r>
              <w:rPr>
                <w:sz w:val="20"/>
                <w:szCs w:val="20"/>
              </w:rPr>
              <w:t>33.</w:t>
            </w:r>
          </w:p>
        </w:tc>
        <w:tc>
          <w:tcPr>
            <w:tcW w:w="4252"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Ограничения на совершение сделок с ценными бумагами, установленные абзацами седьмым, восьмым, десятым и одиннадцатым подпункта 5 пункта 32 настоящих Правил, не применяются, если такие сделки с ценными бумагами совершаются на организованных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A275AD" w:rsidRPr="003C0764" w:rsidRDefault="00A275AD" w:rsidP="00A275AD">
            <w:pPr>
              <w:widowControl w:val="0"/>
              <w:autoSpaceDE w:val="0"/>
              <w:autoSpaceDN w:val="0"/>
              <w:adjustRightInd w:val="0"/>
              <w:spacing w:before="20" w:after="120" w:line="240" w:lineRule="exact"/>
              <w:ind w:firstLine="567"/>
              <w:jc w:val="both"/>
              <w:rPr>
                <w:b/>
                <w:sz w:val="20"/>
                <w:szCs w:val="20"/>
              </w:rPr>
            </w:pPr>
            <w:r w:rsidRPr="003C0764">
              <w:rPr>
                <w:sz w:val="20"/>
                <w:szCs w:val="20"/>
              </w:rPr>
              <w:t>Ограничения на совершение сделок, установленные абзацами седьмым</w:t>
            </w:r>
            <w:r>
              <w:rPr>
                <w:sz w:val="20"/>
                <w:szCs w:val="20"/>
              </w:rPr>
              <w:t xml:space="preserve"> - двенад</w:t>
            </w:r>
            <w:r w:rsidRPr="003C0764">
              <w:rPr>
                <w:sz w:val="20"/>
                <w:szCs w:val="20"/>
              </w:rPr>
              <w:t xml:space="preserve">цатым подпункта 5 пункта 32 настоящих Правил, </w:t>
            </w:r>
            <w:r w:rsidRPr="003C0764">
              <w:rPr>
                <w:b/>
                <w:sz w:val="20"/>
                <w:szCs w:val="20"/>
              </w:rPr>
              <w:t>при осуществлении доверительного управления фондом не применяются.</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p>
        </w:tc>
      </w:tr>
      <w:tr w:rsidR="00A275AD" w:rsidRPr="005F7CA0" w:rsidTr="00893302">
        <w:trPr>
          <w:trHeight w:val="544"/>
        </w:trPr>
        <w:tc>
          <w:tcPr>
            <w:tcW w:w="567" w:type="dxa"/>
          </w:tcPr>
          <w:p w:rsidR="00A275AD" w:rsidRPr="00201702" w:rsidRDefault="00F12289" w:rsidP="00A275AD">
            <w:pPr>
              <w:jc w:val="center"/>
              <w:rPr>
                <w:sz w:val="20"/>
                <w:szCs w:val="20"/>
              </w:rPr>
            </w:pPr>
            <w:r>
              <w:rPr>
                <w:sz w:val="20"/>
                <w:szCs w:val="20"/>
              </w:rPr>
              <w:t>9</w:t>
            </w:r>
          </w:p>
        </w:tc>
        <w:tc>
          <w:tcPr>
            <w:tcW w:w="993" w:type="dxa"/>
          </w:tcPr>
          <w:p w:rsidR="00A275AD" w:rsidRPr="00201702" w:rsidRDefault="00A275AD" w:rsidP="00A275AD">
            <w:pPr>
              <w:jc w:val="center"/>
              <w:rPr>
                <w:sz w:val="20"/>
                <w:szCs w:val="20"/>
              </w:rPr>
            </w:pPr>
            <w:r>
              <w:rPr>
                <w:sz w:val="20"/>
                <w:szCs w:val="20"/>
              </w:rPr>
              <w:t>34.</w:t>
            </w:r>
          </w:p>
        </w:tc>
        <w:tc>
          <w:tcPr>
            <w:tcW w:w="4252"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Ограничения на совершение сделок, установленные абзацем девятым подпункта 5 пункта 32 настоящих Правил, не применяются, если указанные сделки:</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 xml:space="preserve">1) совершаются с ценными бумагами, включенными в котировальные списки </w:t>
            </w:r>
            <w:r w:rsidRPr="003C0764">
              <w:rPr>
                <w:sz w:val="20"/>
                <w:szCs w:val="20"/>
              </w:rPr>
              <w:lastRenderedPageBreak/>
              <w:t>российских бирж;</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p>
        </w:tc>
        <w:tc>
          <w:tcPr>
            <w:tcW w:w="4536" w:type="dxa"/>
          </w:tcPr>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Pr>
                <w:sz w:val="20"/>
                <w:szCs w:val="20"/>
              </w:rPr>
              <w:lastRenderedPageBreak/>
              <w:t xml:space="preserve">Утратил силу. </w:t>
            </w:r>
          </w:p>
        </w:tc>
      </w:tr>
      <w:tr w:rsidR="00A275AD" w:rsidRPr="005F7CA0" w:rsidTr="00893302">
        <w:trPr>
          <w:trHeight w:val="544"/>
        </w:trPr>
        <w:tc>
          <w:tcPr>
            <w:tcW w:w="567" w:type="dxa"/>
          </w:tcPr>
          <w:p w:rsidR="00A275AD" w:rsidRPr="00201702" w:rsidRDefault="00F12289" w:rsidP="00A275AD">
            <w:pPr>
              <w:jc w:val="center"/>
              <w:rPr>
                <w:sz w:val="20"/>
                <w:szCs w:val="20"/>
              </w:rPr>
            </w:pPr>
            <w:r>
              <w:rPr>
                <w:sz w:val="20"/>
                <w:szCs w:val="20"/>
              </w:rPr>
              <w:t>10</w:t>
            </w:r>
          </w:p>
        </w:tc>
        <w:tc>
          <w:tcPr>
            <w:tcW w:w="993" w:type="dxa"/>
          </w:tcPr>
          <w:p w:rsidR="00A275AD" w:rsidRPr="00201702" w:rsidRDefault="00A275AD" w:rsidP="00A275AD">
            <w:pPr>
              <w:jc w:val="center"/>
              <w:rPr>
                <w:sz w:val="20"/>
                <w:szCs w:val="20"/>
              </w:rPr>
            </w:pPr>
            <w:r>
              <w:rPr>
                <w:sz w:val="20"/>
                <w:szCs w:val="20"/>
              </w:rPr>
              <w:t>35.</w:t>
            </w:r>
          </w:p>
        </w:tc>
        <w:tc>
          <w:tcPr>
            <w:tcW w:w="4252" w:type="dxa"/>
          </w:tcPr>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Ограничения на совершение сделок, установленные абзацем пятым подпункта 5 пункта 32 настоящих Правил, не применяются в случае, если заимодавцем (кредитором) по договору займа (кредитному договору) является квалифицированный инвестор в силу федерального закона, и если выдача займа (кредита) осуществляется для приобретения имущества в состав активов фонда либо для исполнения обязанностей, которые подлежат исполнению за счет данных активов, в том числе по полученным кредитам и займам.</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В случае заключения договора займа или кредитного договора, по которому управляющая компания является должником, имущество, приобретаемое в состав активов фонда на средства, полученные по договору займа или кредитному договору, может являться предметом залога или иного обеспечения исполнения обязательства по указанному договору займа или кредитному договору.</w:t>
            </w:r>
          </w:p>
        </w:tc>
        <w:tc>
          <w:tcPr>
            <w:tcW w:w="4536" w:type="dxa"/>
          </w:tcPr>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F93CA2">
              <w:rPr>
                <w:sz w:val="20"/>
                <w:szCs w:val="20"/>
              </w:rPr>
              <w:t xml:space="preserve">Ограничения на совершение сделок, установленные абзацем пятым подпункта 5 пункта 32 настоящих Правил, </w:t>
            </w:r>
            <w:r w:rsidRPr="003C0764">
              <w:rPr>
                <w:b/>
                <w:sz w:val="20"/>
                <w:szCs w:val="20"/>
              </w:rPr>
              <w:t>в части заключения управляющей компанией договоров займа и кредитных договоров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 по которым управляющая компания является заемщиком, а также выдачи управляющей компанией поручений на заключение таких договоров не применяются.</w:t>
            </w:r>
          </w:p>
        </w:tc>
      </w:tr>
      <w:tr w:rsidR="00A275AD" w:rsidRPr="005F7CA0" w:rsidTr="00893302">
        <w:trPr>
          <w:trHeight w:val="544"/>
        </w:trPr>
        <w:tc>
          <w:tcPr>
            <w:tcW w:w="567" w:type="dxa"/>
          </w:tcPr>
          <w:p w:rsidR="00A275AD" w:rsidRDefault="001A4C53" w:rsidP="00A275AD">
            <w:pPr>
              <w:jc w:val="center"/>
              <w:rPr>
                <w:sz w:val="20"/>
                <w:szCs w:val="20"/>
              </w:rPr>
            </w:pPr>
            <w:r>
              <w:rPr>
                <w:sz w:val="20"/>
                <w:szCs w:val="20"/>
              </w:rPr>
              <w:t>1</w:t>
            </w:r>
            <w:r w:rsidR="00F12289">
              <w:rPr>
                <w:sz w:val="20"/>
                <w:szCs w:val="20"/>
              </w:rPr>
              <w:t>1</w:t>
            </w:r>
          </w:p>
        </w:tc>
        <w:tc>
          <w:tcPr>
            <w:tcW w:w="993" w:type="dxa"/>
          </w:tcPr>
          <w:p w:rsidR="00A275AD" w:rsidRPr="00201702" w:rsidRDefault="00A275AD" w:rsidP="00A275AD">
            <w:pPr>
              <w:jc w:val="center"/>
              <w:rPr>
                <w:sz w:val="20"/>
                <w:szCs w:val="20"/>
              </w:rPr>
            </w:pPr>
            <w:r>
              <w:rPr>
                <w:sz w:val="20"/>
                <w:szCs w:val="20"/>
              </w:rPr>
              <w:t>97.</w:t>
            </w:r>
          </w:p>
        </w:tc>
        <w:tc>
          <w:tcPr>
            <w:tcW w:w="4252" w:type="dxa"/>
          </w:tcPr>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6A7E0C">
              <w:rPr>
                <w:sz w:val="20"/>
                <w:szCs w:val="20"/>
              </w:rPr>
              <w:t>Расчетная стоимость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tc>
        <w:tc>
          <w:tcPr>
            <w:tcW w:w="4536" w:type="dxa"/>
          </w:tcPr>
          <w:p w:rsidR="00A275AD" w:rsidRPr="006A7E0C" w:rsidRDefault="00A275AD" w:rsidP="00A275AD">
            <w:pPr>
              <w:widowControl w:val="0"/>
              <w:autoSpaceDE w:val="0"/>
              <w:autoSpaceDN w:val="0"/>
              <w:adjustRightInd w:val="0"/>
              <w:spacing w:before="20" w:after="120" w:line="240" w:lineRule="exact"/>
              <w:ind w:firstLine="567"/>
              <w:jc w:val="both"/>
              <w:rPr>
                <w:sz w:val="20"/>
                <w:szCs w:val="20"/>
              </w:rPr>
            </w:pPr>
            <w:r w:rsidRPr="006A7E0C">
              <w:rPr>
                <w:sz w:val="20"/>
                <w:szCs w:val="20"/>
              </w:rPr>
              <w:t xml:space="preserve">Расчетная стоимость инвестиционного пая определяется </w:t>
            </w:r>
            <w:r w:rsidRPr="006A7E0C">
              <w:rPr>
                <w:b/>
                <w:sz w:val="20"/>
                <w:szCs w:val="20"/>
              </w:rPr>
              <w:t>на каждую дату, на которую определяется стоимость чистых активов фонда,</w:t>
            </w:r>
            <w:r w:rsidRPr="006A7E0C">
              <w:rPr>
                <w:sz w:val="20"/>
                <w:szCs w:val="20"/>
              </w:rPr>
              <w:t xml:space="preserve"> путем деления стоимости чистых активов фонда на количество инвестиционных паев по данным реестра владельцев инвестиционных паев на </w:t>
            </w:r>
            <w:r w:rsidRPr="006A7E0C">
              <w:rPr>
                <w:b/>
                <w:sz w:val="20"/>
                <w:szCs w:val="20"/>
              </w:rPr>
              <w:t>дату</w:t>
            </w:r>
            <w:r>
              <w:rPr>
                <w:sz w:val="20"/>
                <w:szCs w:val="20"/>
              </w:rPr>
              <w:t xml:space="preserve"> определения расчетной стоимости.</w:t>
            </w:r>
          </w:p>
        </w:tc>
      </w:tr>
      <w:tr w:rsidR="00A275AD" w:rsidRPr="005F7CA0" w:rsidTr="00893302">
        <w:trPr>
          <w:trHeight w:val="544"/>
        </w:trPr>
        <w:tc>
          <w:tcPr>
            <w:tcW w:w="567" w:type="dxa"/>
          </w:tcPr>
          <w:p w:rsidR="00A275AD" w:rsidRPr="00201702" w:rsidRDefault="001A4C53" w:rsidP="00A275AD">
            <w:pPr>
              <w:jc w:val="center"/>
              <w:rPr>
                <w:sz w:val="20"/>
                <w:szCs w:val="20"/>
              </w:rPr>
            </w:pPr>
            <w:r>
              <w:rPr>
                <w:sz w:val="20"/>
                <w:szCs w:val="20"/>
              </w:rPr>
              <w:t>1</w:t>
            </w:r>
            <w:r w:rsidR="00F12289">
              <w:rPr>
                <w:sz w:val="20"/>
                <w:szCs w:val="20"/>
              </w:rPr>
              <w:t>2</w:t>
            </w:r>
          </w:p>
        </w:tc>
        <w:tc>
          <w:tcPr>
            <w:tcW w:w="993" w:type="dxa"/>
          </w:tcPr>
          <w:p w:rsidR="00A275AD" w:rsidRPr="00201702" w:rsidRDefault="00A275AD" w:rsidP="00A275AD">
            <w:pPr>
              <w:jc w:val="center"/>
              <w:rPr>
                <w:sz w:val="20"/>
                <w:szCs w:val="20"/>
              </w:rPr>
            </w:pPr>
            <w:r w:rsidRPr="00201702">
              <w:rPr>
                <w:sz w:val="20"/>
                <w:szCs w:val="20"/>
              </w:rPr>
              <w:t>99.</w:t>
            </w:r>
          </w:p>
        </w:tc>
        <w:tc>
          <w:tcPr>
            <w:tcW w:w="4252" w:type="dxa"/>
          </w:tcPr>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По требованию владельцев инвестиционных паев управляющая компания предоставляет им следующую информацию:</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color w:val="000000"/>
                <w:sz w:val="20"/>
                <w:szCs w:val="20"/>
                <w:lang w:eastAsia="en-US"/>
              </w:rPr>
              <w:t>2) настоящие Правила с учетом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3) правила ведения реестра владельцев инвестиционных паев;</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4) справку о стоимости чистых активов фонда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6) отчет о приросте (об уменьшении) стоимости имущества, составляющего фонд, по состоянию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sz w:val="20"/>
                <w:szCs w:val="20"/>
              </w:rPr>
              <w:t xml:space="preserve">8) </w:t>
            </w:r>
            <w:r w:rsidRPr="00201702">
              <w:rPr>
                <w:color w:val="000000"/>
                <w:sz w:val="20"/>
                <w:szCs w:val="20"/>
                <w:lang w:eastAsia="en-US"/>
              </w:rPr>
              <w:t>сведения о приостановлении и возобновлении выдачи и погашения инвестиционных паев с указанием причин приостановления;</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color w:val="000000"/>
                <w:sz w:val="20"/>
                <w:szCs w:val="20"/>
                <w:lang w:eastAsia="en-US"/>
              </w:rPr>
              <w:t>9)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A275AD" w:rsidRPr="00201702" w:rsidRDefault="00A275AD" w:rsidP="00A275AD">
            <w:pPr>
              <w:autoSpaceDE w:val="0"/>
              <w:autoSpaceDN w:val="0"/>
              <w:adjustRightInd w:val="0"/>
              <w:ind w:firstLine="540"/>
              <w:jc w:val="both"/>
              <w:rPr>
                <w:sz w:val="20"/>
                <w:szCs w:val="20"/>
              </w:rPr>
            </w:pPr>
            <w:r w:rsidRPr="00201702">
              <w:rPr>
                <w:sz w:val="20"/>
                <w:szCs w:val="20"/>
              </w:rPr>
              <w:t xml:space="preserve">10) </w:t>
            </w:r>
            <w:r w:rsidRPr="00201702">
              <w:rPr>
                <w:color w:val="000000"/>
                <w:sz w:val="20"/>
                <w:szCs w:val="20"/>
                <w:lang w:eastAsia="en-US"/>
              </w:rPr>
              <w:t>иную</w:t>
            </w:r>
            <w:r w:rsidRPr="00201702">
              <w:rPr>
                <w:sz w:val="20"/>
                <w:szCs w:val="20"/>
              </w:rPr>
              <w:t xml:space="preserve"> информацию в соответствии с Федеральным законом «Об инвестиционных фондах».</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Информация, указанная в настоящем пункте, предоставляется владельцам инвестиционных паев на бумажных носителях путем ее направления заказным письмом с уведомлением о вручении на адрес, указанный в реестре владельцев инвестиционных паев фонда, или путем вручения соответствующих документов лично в руки владельцу инвестиционных паев фонда или его уполномоченному представителю под роспись. Способ предоставления информации определяется управляющей компанией.</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Информация, указанная в настоящем пункте, также может быть предоставлена владельцам инвестиционных паев агентом путем вручения соответствующих документов лично в руки владельцу инвестиционных паев фонда или его уполномоченному представителю под роспись.</w:t>
            </w:r>
          </w:p>
          <w:p w:rsidR="00A275AD" w:rsidRPr="00201702" w:rsidRDefault="00A275AD" w:rsidP="00A275AD">
            <w:pPr>
              <w:autoSpaceDE w:val="0"/>
              <w:autoSpaceDN w:val="0"/>
              <w:adjustRightInd w:val="0"/>
              <w:ind w:firstLine="540"/>
              <w:jc w:val="both"/>
              <w:rPr>
                <w:sz w:val="20"/>
                <w:szCs w:val="20"/>
              </w:rPr>
            </w:pPr>
            <w:r w:rsidRPr="00201702">
              <w:rPr>
                <w:sz w:val="20"/>
                <w:szCs w:val="20"/>
              </w:rPr>
              <w:t>Информация о фонде может предоставляться лицам, которым в соответствии с Федеральным законом "О рынке ценных бумаг" может предоставляться информация о ценных бумагах, предназначенных для квалифицированных инвесторов.</w:t>
            </w:r>
          </w:p>
          <w:p w:rsidR="00A275AD" w:rsidRPr="00201702" w:rsidRDefault="00A275AD" w:rsidP="00A275AD">
            <w:pPr>
              <w:autoSpaceDE w:val="0"/>
              <w:autoSpaceDN w:val="0"/>
              <w:adjustRightInd w:val="0"/>
              <w:spacing w:after="120" w:line="240" w:lineRule="exact"/>
              <w:ind w:firstLine="540"/>
              <w:jc w:val="both"/>
              <w:rPr>
                <w:sz w:val="20"/>
                <w:szCs w:val="20"/>
              </w:rPr>
            </w:pPr>
          </w:p>
        </w:tc>
        <w:tc>
          <w:tcPr>
            <w:tcW w:w="4536" w:type="dxa"/>
          </w:tcPr>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По требованию владельцев инвестиционных паев управляющая компания предоставляет им следующую информацию:</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sz w:val="20"/>
                <w:szCs w:val="20"/>
              </w:rPr>
              <w:t>,</w:t>
            </w:r>
            <w:r w:rsidRPr="00201702">
              <w:rPr>
                <w:sz w:val="20"/>
                <w:szCs w:val="20"/>
              </w:rPr>
              <w:t xml:space="preserve"> </w:t>
            </w:r>
            <w:r w:rsidRPr="00201702">
              <w:rPr>
                <w:b/>
                <w:sz w:val="20"/>
                <w:szCs w:val="20"/>
              </w:rPr>
              <w:t>Банком России</w:t>
            </w:r>
            <w:r>
              <w:rPr>
                <w:b/>
                <w:sz w:val="20"/>
                <w:szCs w:val="20"/>
              </w:rPr>
              <w:t>,</w:t>
            </w:r>
            <w:r w:rsidRPr="00201702">
              <w:rPr>
                <w:b/>
                <w:sz w:val="20"/>
                <w:szCs w:val="20"/>
              </w:rPr>
              <w:t xml:space="preserve"> а</w:t>
            </w:r>
            <w:r>
              <w:rPr>
                <w:sz w:val="20"/>
                <w:szCs w:val="20"/>
              </w:rPr>
              <w:t xml:space="preserve"> </w:t>
            </w:r>
            <w:r w:rsidRPr="00201702">
              <w:rPr>
                <w:b/>
                <w:sz w:val="20"/>
                <w:szCs w:val="20"/>
              </w:rPr>
              <w:t>также изменений, согласованных специализированным депозитарием и представленных в Банк России</w:t>
            </w:r>
            <w:r>
              <w:rPr>
                <w:b/>
                <w:sz w:val="20"/>
                <w:szCs w:val="20"/>
              </w:rPr>
              <w:t>;</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color w:val="000000"/>
                <w:sz w:val="20"/>
                <w:szCs w:val="20"/>
                <w:lang w:eastAsia="en-US"/>
              </w:rPr>
              <w:t>2) настоящие Правила с учетом внесенных в них изменений, зарегистрированных федеральным органом исполнительной власти по рынку ценных бумаг</w:t>
            </w:r>
            <w:r>
              <w:rPr>
                <w:color w:val="000000"/>
                <w:sz w:val="20"/>
                <w:szCs w:val="20"/>
                <w:lang w:eastAsia="en-US"/>
              </w:rPr>
              <w:t xml:space="preserve">, </w:t>
            </w:r>
            <w:r w:rsidRPr="00201702">
              <w:rPr>
                <w:b/>
                <w:color w:val="000000"/>
                <w:sz w:val="20"/>
                <w:szCs w:val="20"/>
                <w:lang w:eastAsia="en-US"/>
              </w:rPr>
              <w:t>Банком России, а также изменений,</w:t>
            </w:r>
            <w:r w:rsidRPr="00190F64">
              <w:rPr>
                <w:b/>
              </w:rPr>
              <w:t xml:space="preserve"> </w:t>
            </w:r>
            <w:r w:rsidRPr="00201702">
              <w:rPr>
                <w:b/>
                <w:sz w:val="20"/>
                <w:szCs w:val="20"/>
              </w:rPr>
              <w:t>согласованных специализированным депозитарием и представленных в Банк России;</w:t>
            </w:r>
            <w:r w:rsidRPr="00201702">
              <w:rPr>
                <w:color w:val="000000"/>
                <w:sz w:val="20"/>
                <w:szCs w:val="20"/>
                <w:lang w:eastAsia="en-US"/>
              </w:rPr>
              <w:t xml:space="preserve"> </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3) правила ведения реестра владельцев инвестиционных паев;</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4) справку о стоимости чистых активов фонда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6) отчет о приросте (об уменьшении) стоимости имущества, составляющего фонд, по состоянию на последнюю отчетную дату;</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sz w:val="20"/>
                <w:szCs w:val="20"/>
              </w:rPr>
              <w:t xml:space="preserve">8) </w:t>
            </w:r>
            <w:r w:rsidRPr="00201702">
              <w:rPr>
                <w:color w:val="000000"/>
                <w:sz w:val="20"/>
                <w:szCs w:val="20"/>
                <w:lang w:eastAsia="en-US"/>
              </w:rPr>
              <w:t>сведения о приостановлении и возобновлении выдачи и погашения инвестиционных паев с указанием причин приостановления;</w:t>
            </w:r>
          </w:p>
          <w:p w:rsidR="00A275AD" w:rsidRPr="00201702" w:rsidRDefault="00A275AD" w:rsidP="00A275AD">
            <w:pPr>
              <w:autoSpaceDE w:val="0"/>
              <w:autoSpaceDN w:val="0"/>
              <w:adjustRightInd w:val="0"/>
              <w:ind w:firstLine="540"/>
              <w:jc w:val="both"/>
              <w:rPr>
                <w:color w:val="000000"/>
                <w:sz w:val="20"/>
                <w:szCs w:val="20"/>
                <w:lang w:eastAsia="en-US"/>
              </w:rPr>
            </w:pPr>
            <w:r w:rsidRPr="00201702">
              <w:rPr>
                <w:color w:val="000000"/>
                <w:sz w:val="20"/>
                <w:szCs w:val="20"/>
                <w:lang w:eastAsia="en-US"/>
              </w:rPr>
              <w:t>9)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A275AD" w:rsidRPr="00201702" w:rsidRDefault="00A275AD" w:rsidP="00A275AD">
            <w:pPr>
              <w:autoSpaceDE w:val="0"/>
              <w:autoSpaceDN w:val="0"/>
              <w:adjustRightInd w:val="0"/>
              <w:ind w:firstLine="540"/>
              <w:jc w:val="both"/>
              <w:rPr>
                <w:sz w:val="20"/>
                <w:szCs w:val="20"/>
              </w:rPr>
            </w:pPr>
            <w:r w:rsidRPr="00201702">
              <w:rPr>
                <w:sz w:val="20"/>
                <w:szCs w:val="20"/>
              </w:rPr>
              <w:t xml:space="preserve">10) </w:t>
            </w:r>
            <w:r w:rsidRPr="00201702">
              <w:rPr>
                <w:color w:val="000000"/>
                <w:sz w:val="20"/>
                <w:szCs w:val="20"/>
                <w:lang w:eastAsia="en-US"/>
              </w:rPr>
              <w:t>иную</w:t>
            </w:r>
            <w:r w:rsidRPr="00201702">
              <w:rPr>
                <w:sz w:val="20"/>
                <w:szCs w:val="20"/>
              </w:rPr>
              <w:t xml:space="preserve"> информацию в соответствии с Федеральным законом «Об инвестиционных фондах».</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Информация, указанная в настоящем пункте, предоставляется владельцам инвестиционных паев на бумажных носителях путем ее направления заказным письмом с уведомлением о вручении на адрес, указанный в реестре владельцев инвестиционных паев фонда, или путем вручения соответствующих документов лично в руки владельцу инвестиционных паев фонда или его уполномоченному представителю под роспись. Способ предоставления информации определяется управляющей компанией.</w:t>
            </w:r>
          </w:p>
          <w:p w:rsidR="00A275AD" w:rsidRPr="00201702" w:rsidRDefault="00A275AD" w:rsidP="00A275AD">
            <w:pPr>
              <w:widowControl w:val="0"/>
              <w:autoSpaceDE w:val="0"/>
              <w:autoSpaceDN w:val="0"/>
              <w:adjustRightInd w:val="0"/>
              <w:spacing w:before="20" w:after="120" w:line="240" w:lineRule="exact"/>
              <w:ind w:firstLine="567"/>
              <w:jc w:val="both"/>
              <w:rPr>
                <w:sz w:val="20"/>
                <w:szCs w:val="20"/>
              </w:rPr>
            </w:pPr>
            <w:r w:rsidRPr="00201702">
              <w:rPr>
                <w:sz w:val="20"/>
                <w:szCs w:val="20"/>
              </w:rPr>
              <w:t>Информация, указанная в настоящем пункте, также может быть предоставлена владельцам инвестиционных паев агентом путем вручения соответствующих документов лично в руки владельцу инвестиционных паев фонда или его уполномоченному представителю под роспись.</w:t>
            </w:r>
          </w:p>
          <w:p w:rsidR="00A275AD" w:rsidRPr="003C0764" w:rsidRDefault="00A275AD" w:rsidP="00A275AD">
            <w:pPr>
              <w:widowControl w:val="0"/>
              <w:autoSpaceDE w:val="0"/>
              <w:autoSpaceDN w:val="0"/>
              <w:adjustRightInd w:val="0"/>
              <w:spacing w:before="20" w:after="120" w:line="240" w:lineRule="exact"/>
              <w:ind w:firstLine="567"/>
              <w:jc w:val="both"/>
              <w:rPr>
                <w:sz w:val="20"/>
                <w:szCs w:val="20"/>
              </w:rPr>
            </w:pPr>
            <w:r w:rsidRPr="003C0764">
              <w:rPr>
                <w:sz w:val="20"/>
                <w:szCs w:val="20"/>
              </w:rPr>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rsidR="00A275AD" w:rsidRPr="00201702" w:rsidRDefault="00A275AD" w:rsidP="00A275AD">
            <w:pPr>
              <w:autoSpaceDE w:val="0"/>
              <w:autoSpaceDN w:val="0"/>
              <w:adjustRightInd w:val="0"/>
              <w:ind w:firstLine="540"/>
              <w:jc w:val="both"/>
              <w:rPr>
                <w:sz w:val="20"/>
                <w:szCs w:val="20"/>
              </w:rPr>
            </w:pPr>
          </w:p>
          <w:p w:rsidR="00A275AD" w:rsidRPr="00201702" w:rsidRDefault="00A275AD" w:rsidP="00A275AD">
            <w:pPr>
              <w:autoSpaceDE w:val="0"/>
              <w:autoSpaceDN w:val="0"/>
              <w:adjustRightInd w:val="0"/>
              <w:spacing w:after="120" w:line="240" w:lineRule="exact"/>
              <w:ind w:firstLine="540"/>
              <w:jc w:val="both"/>
              <w:rPr>
                <w:sz w:val="20"/>
                <w:szCs w:val="20"/>
              </w:rPr>
            </w:pPr>
          </w:p>
        </w:tc>
      </w:tr>
      <w:tr w:rsidR="00A275AD" w:rsidRPr="005F7CA0" w:rsidTr="00893302">
        <w:trPr>
          <w:trHeight w:val="544"/>
        </w:trPr>
        <w:tc>
          <w:tcPr>
            <w:tcW w:w="567" w:type="dxa"/>
          </w:tcPr>
          <w:p w:rsidR="00A275AD" w:rsidRPr="005F7CA0" w:rsidRDefault="00A275AD" w:rsidP="00A275AD">
            <w:pPr>
              <w:jc w:val="center"/>
              <w:rPr>
                <w:sz w:val="20"/>
                <w:szCs w:val="20"/>
              </w:rPr>
            </w:pPr>
            <w:r>
              <w:rPr>
                <w:sz w:val="20"/>
                <w:szCs w:val="20"/>
              </w:rPr>
              <w:t>1</w:t>
            </w:r>
            <w:r w:rsidR="00F12289">
              <w:rPr>
                <w:sz w:val="20"/>
                <w:szCs w:val="20"/>
              </w:rPr>
              <w:t>3</w:t>
            </w:r>
          </w:p>
        </w:tc>
        <w:tc>
          <w:tcPr>
            <w:tcW w:w="993" w:type="dxa"/>
          </w:tcPr>
          <w:p w:rsidR="00A275AD" w:rsidRPr="005F7CA0" w:rsidRDefault="00A275AD" w:rsidP="00A275AD">
            <w:pPr>
              <w:jc w:val="center"/>
              <w:rPr>
                <w:sz w:val="20"/>
                <w:szCs w:val="20"/>
              </w:rPr>
            </w:pPr>
            <w:r>
              <w:rPr>
                <w:sz w:val="20"/>
                <w:szCs w:val="20"/>
              </w:rPr>
              <w:t>112.</w:t>
            </w:r>
          </w:p>
        </w:tc>
        <w:tc>
          <w:tcPr>
            <w:tcW w:w="4252" w:type="dxa"/>
          </w:tcPr>
          <w:p w:rsidR="00A275AD" w:rsidRPr="00201702" w:rsidRDefault="00A275AD" w:rsidP="00A275AD">
            <w:pPr>
              <w:autoSpaceDE w:val="0"/>
              <w:autoSpaceDN w:val="0"/>
              <w:adjustRightInd w:val="0"/>
              <w:spacing w:after="120" w:line="240" w:lineRule="exact"/>
              <w:ind w:firstLine="540"/>
              <w:jc w:val="both"/>
              <w:rPr>
                <w:sz w:val="20"/>
                <w:szCs w:val="20"/>
              </w:rPr>
            </w:pPr>
            <w:r w:rsidRPr="00201702">
              <w:rPr>
                <w:sz w:val="20"/>
                <w:szCs w:val="20"/>
              </w:rPr>
              <w:t>Изменения, которые вносятся в настоящие Правила, вступают в силу при условии их регистрации Банком России.</w:t>
            </w:r>
          </w:p>
          <w:p w:rsidR="00A275AD" w:rsidRPr="00EB0BB8" w:rsidRDefault="00A275AD" w:rsidP="00A275AD">
            <w:pPr>
              <w:autoSpaceDE w:val="0"/>
              <w:autoSpaceDN w:val="0"/>
              <w:adjustRightInd w:val="0"/>
              <w:spacing w:after="120" w:line="240" w:lineRule="exact"/>
              <w:ind w:firstLine="540"/>
              <w:jc w:val="both"/>
              <w:rPr>
                <w:sz w:val="20"/>
                <w:szCs w:val="20"/>
              </w:rPr>
            </w:pPr>
          </w:p>
        </w:tc>
        <w:tc>
          <w:tcPr>
            <w:tcW w:w="4536" w:type="dxa"/>
          </w:tcPr>
          <w:p w:rsidR="00A275AD" w:rsidRPr="00EB0BB8" w:rsidRDefault="00A275AD" w:rsidP="00A275AD">
            <w:pPr>
              <w:autoSpaceDE w:val="0"/>
              <w:autoSpaceDN w:val="0"/>
              <w:adjustRightInd w:val="0"/>
              <w:spacing w:after="120" w:line="240" w:lineRule="exact"/>
              <w:ind w:firstLine="540"/>
              <w:jc w:val="both"/>
              <w:rPr>
                <w:sz w:val="20"/>
                <w:szCs w:val="20"/>
              </w:rPr>
            </w:pPr>
            <w:r w:rsidRPr="00201702">
              <w:rPr>
                <w:sz w:val="20"/>
                <w:szCs w:val="20"/>
              </w:rPr>
              <w:t>Изменения, которые вносятся в настоящие Правила, вступают в силу при условии</w:t>
            </w:r>
            <w:r>
              <w:rPr>
                <w:sz w:val="20"/>
                <w:szCs w:val="20"/>
              </w:rPr>
              <w:t xml:space="preserve">, </w:t>
            </w:r>
            <w:r w:rsidRPr="00201702">
              <w:rPr>
                <w:b/>
                <w:sz w:val="20"/>
                <w:szCs w:val="20"/>
              </w:rPr>
              <w:t>что специализированный депозитарий согласовал такие изменения и представил их в Банк России</w:t>
            </w:r>
            <w:r w:rsidRPr="00201702">
              <w:rPr>
                <w:sz w:val="20"/>
                <w:szCs w:val="20"/>
              </w:rPr>
              <w:t>.</w:t>
            </w:r>
          </w:p>
        </w:tc>
      </w:tr>
      <w:tr w:rsidR="00A275AD" w:rsidRPr="005F7CA0" w:rsidTr="00893302">
        <w:trPr>
          <w:trHeight w:val="544"/>
        </w:trPr>
        <w:tc>
          <w:tcPr>
            <w:tcW w:w="567" w:type="dxa"/>
          </w:tcPr>
          <w:p w:rsidR="00A275AD" w:rsidRDefault="00A275AD" w:rsidP="00A275AD">
            <w:pPr>
              <w:jc w:val="center"/>
              <w:rPr>
                <w:sz w:val="20"/>
                <w:szCs w:val="20"/>
              </w:rPr>
            </w:pPr>
            <w:r>
              <w:rPr>
                <w:sz w:val="20"/>
                <w:szCs w:val="20"/>
              </w:rPr>
              <w:t>1</w:t>
            </w:r>
            <w:r w:rsidR="00F12289">
              <w:rPr>
                <w:sz w:val="20"/>
                <w:szCs w:val="20"/>
              </w:rPr>
              <w:t>4</w:t>
            </w:r>
          </w:p>
        </w:tc>
        <w:tc>
          <w:tcPr>
            <w:tcW w:w="993" w:type="dxa"/>
          </w:tcPr>
          <w:p w:rsidR="00A275AD" w:rsidRDefault="00A275AD" w:rsidP="00A275AD">
            <w:pPr>
              <w:jc w:val="center"/>
              <w:rPr>
                <w:sz w:val="20"/>
                <w:szCs w:val="20"/>
              </w:rPr>
            </w:pPr>
            <w:r>
              <w:rPr>
                <w:sz w:val="20"/>
                <w:szCs w:val="20"/>
              </w:rPr>
              <w:t>113.</w:t>
            </w:r>
          </w:p>
        </w:tc>
        <w:tc>
          <w:tcPr>
            <w:tcW w:w="4252" w:type="dxa"/>
          </w:tcPr>
          <w:p w:rsidR="00A275AD" w:rsidRPr="009F7458" w:rsidRDefault="00A275AD" w:rsidP="00A275AD">
            <w:pPr>
              <w:autoSpaceDE w:val="0"/>
              <w:autoSpaceDN w:val="0"/>
              <w:adjustRightInd w:val="0"/>
              <w:spacing w:after="120" w:line="240" w:lineRule="exact"/>
              <w:ind w:firstLine="540"/>
              <w:jc w:val="both"/>
              <w:rPr>
                <w:sz w:val="20"/>
                <w:szCs w:val="20"/>
              </w:rPr>
            </w:pPr>
            <w:r w:rsidRPr="009F7458">
              <w:rPr>
                <w:sz w:val="20"/>
                <w:szCs w:val="20"/>
              </w:rPr>
              <w:t xml:space="preserve">Сообщение </w:t>
            </w:r>
            <w:r w:rsidRPr="009F7458">
              <w:rPr>
                <w:b/>
                <w:sz w:val="20"/>
                <w:szCs w:val="20"/>
              </w:rPr>
              <w:t>о регистрации изменений, которые вносятся в настоящие Правила,</w:t>
            </w:r>
            <w:r w:rsidRPr="009F7458">
              <w:rPr>
                <w:sz w:val="20"/>
                <w:szCs w:val="20"/>
              </w:rPr>
              <w:t xml:space="preserve"> предоставляется всем владельцам инвестиционных паев, список которых составляется на основании данных реестра владельцев инвестиционных паев фонда на дату регистрации 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соответствующих документов лично в руки владельцу инвестиционных паев фонда или его уполномоченному представителю. Способ предоставления информации определяется управляющей компанией</w:t>
            </w:r>
            <w:r>
              <w:rPr>
                <w:sz w:val="20"/>
                <w:szCs w:val="20"/>
              </w:rPr>
              <w:t>.</w:t>
            </w:r>
          </w:p>
          <w:p w:rsidR="00A275AD" w:rsidRPr="009F7458" w:rsidRDefault="00A275AD" w:rsidP="00A275AD">
            <w:pPr>
              <w:autoSpaceDE w:val="0"/>
              <w:autoSpaceDN w:val="0"/>
              <w:adjustRightInd w:val="0"/>
              <w:spacing w:after="120" w:line="240" w:lineRule="exact"/>
              <w:ind w:firstLine="539"/>
              <w:jc w:val="both"/>
              <w:rPr>
                <w:sz w:val="20"/>
                <w:szCs w:val="20"/>
              </w:rPr>
            </w:pPr>
            <w:r w:rsidRPr="009F7458">
              <w:rPr>
                <w:sz w:val="20"/>
                <w:szCs w:val="20"/>
              </w:rPr>
              <w:t>Сообщение о регистрации изменений, которые вносятся в настоящие Правила, вручается или направляется владельцам инвестиционных паев не позднее 5 (Пяти) рабочих дней с даты получения управляющей компанией уведомления Банка России об их регистрации.</w:t>
            </w:r>
          </w:p>
          <w:p w:rsidR="00A275AD" w:rsidRPr="009F7458" w:rsidRDefault="00A275AD" w:rsidP="00A275AD">
            <w:pPr>
              <w:autoSpaceDE w:val="0"/>
              <w:autoSpaceDN w:val="0"/>
              <w:adjustRightInd w:val="0"/>
              <w:spacing w:after="120" w:line="240" w:lineRule="exact"/>
              <w:ind w:firstLine="539"/>
              <w:jc w:val="both"/>
              <w:rPr>
                <w:sz w:val="20"/>
                <w:szCs w:val="20"/>
              </w:rPr>
            </w:pPr>
            <w:r w:rsidRPr="009F7458">
              <w:rPr>
                <w:sz w:val="20"/>
                <w:szCs w:val="20"/>
              </w:rPr>
              <w:t>Изменения, которые вносятся в настоящие Правила, вступают в силу по истечении 3 (Трех) рабочих дней  со дня их регистрации Банком России.</w:t>
            </w:r>
          </w:p>
          <w:p w:rsidR="00A275AD" w:rsidRPr="00201702" w:rsidRDefault="00A275AD" w:rsidP="00A275AD">
            <w:pPr>
              <w:autoSpaceDE w:val="0"/>
              <w:autoSpaceDN w:val="0"/>
              <w:adjustRightInd w:val="0"/>
              <w:spacing w:after="120" w:line="240" w:lineRule="exact"/>
              <w:ind w:firstLine="540"/>
              <w:jc w:val="both"/>
              <w:rPr>
                <w:sz w:val="20"/>
                <w:szCs w:val="20"/>
              </w:rPr>
            </w:pPr>
          </w:p>
        </w:tc>
        <w:tc>
          <w:tcPr>
            <w:tcW w:w="4536" w:type="dxa"/>
          </w:tcPr>
          <w:p w:rsidR="00A275AD" w:rsidRPr="009F7458" w:rsidRDefault="00A275AD" w:rsidP="00A275AD">
            <w:pPr>
              <w:autoSpaceDE w:val="0"/>
              <w:autoSpaceDN w:val="0"/>
              <w:adjustRightInd w:val="0"/>
              <w:spacing w:after="120" w:line="240" w:lineRule="exact"/>
              <w:ind w:firstLine="540"/>
              <w:jc w:val="both"/>
              <w:rPr>
                <w:sz w:val="20"/>
                <w:szCs w:val="20"/>
              </w:rPr>
            </w:pPr>
            <w:r w:rsidRPr="009F7458">
              <w:rPr>
                <w:sz w:val="20"/>
                <w:szCs w:val="20"/>
              </w:rPr>
              <w:t xml:space="preserve">Сообщение </w:t>
            </w:r>
            <w:r w:rsidRPr="00973C36">
              <w:rPr>
                <w:b/>
                <w:sz w:val="20"/>
                <w:szCs w:val="20"/>
              </w:rPr>
              <w:t>о предоставлении в Банк России согласованных специализированным депозитарием изменений, которые вносятся в настоящие Правила</w:t>
            </w:r>
            <w:r w:rsidRPr="009F7458">
              <w:rPr>
                <w:b/>
                <w:sz w:val="20"/>
                <w:szCs w:val="20"/>
              </w:rPr>
              <w:t>,</w:t>
            </w:r>
            <w:r w:rsidRPr="009F7458">
              <w:rPr>
                <w:sz w:val="20"/>
                <w:szCs w:val="20"/>
              </w:rPr>
              <w:t xml:space="preserve"> предоставляется всем владельцам инвестиционных паев, список которых составляется на основании данных реестра владельцев инвестиционных паев фонда на дату </w:t>
            </w:r>
            <w:r>
              <w:rPr>
                <w:sz w:val="20"/>
                <w:szCs w:val="20"/>
              </w:rPr>
              <w:t>согласования</w:t>
            </w:r>
            <w:r w:rsidRPr="009F7458">
              <w:rPr>
                <w:sz w:val="20"/>
                <w:szCs w:val="20"/>
              </w:rPr>
              <w:t xml:space="preserve"> 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w:t>
            </w:r>
            <w:r>
              <w:rPr>
                <w:sz w:val="20"/>
                <w:szCs w:val="20"/>
              </w:rPr>
              <w:t>и (или)</w:t>
            </w:r>
            <w:r w:rsidRPr="009F7458">
              <w:rPr>
                <w:sz w:val="20"/>
                <w:szCs w:val="20"/>
              </w:rPr>
              <w:t xml:space="preserve"> путем вручения соответствующих документов лично в руки владельцу инвестиционных паев фонда или его уполномоченному представителю</w:t>
            </w:r>
            <w:r>
              <w:rPr>
                <w:sz w:val="20"/>
                <w:szCs w:val="20"/>
              </w:rPr>
              <w:t xml:space="preserve">, </w:t>
            </w:r>
            <w:r w:rsidRPr="00931491">
              <w:rPr>
                <w:b/>
                <w:sz w:val="20"/>
                <w:szCs w:val="20"/>
              </w:rPr>
              <w:t>и (или) по письменно указанному владельцем инвестиционных паев адресу электронной почты</w:t>
            </w:r>
            <w:r>
              <w:rPr>
                <w:sz w:val="20"/>
                <w:szCs w:val="20"/>
              </w:rPr>
              <w:t xml:space="preserve">, </w:t>
            </w:r>
            <w:r w:rsidRPr="00931491">
              <w:rPr>
                <w:b/>
                <w:sz w:val="20"/>
                <w:szCs w:val="20"/>
              </w:rPr>
              <w:t>и (или) путем размещения на официальном сайте управляющей компани</w:t>
            </w:r>
            <w:r>
              <w:rPr>
                <w:b/>
                <w:sz w:val="20"/>
                <w:szCs w:val="20"/>
              </w:rPr>
              <w:t>и www.</w:t>
            </w:r>
            <w:r>
              <w:rPr>
                <w:b/>
                <w:sz w:val="20"/>
                <w:szCs w:val="20"/>
                <w:lang w:val="en-US"/>
              </w:rPr>
              <w:t>tkbip</w:t>
            </w:r>
            <w:r w:rsidRPr="00A52667">
              <w:rPr>
                <w:b/>
                <w:sz w:val="20"/>
                <w:szCs w:val="20"/>
              </w:rPr>
              <w:t>.</w:t>
            </w:r>
            <w:r>
              <w:rPr>
                <w:b/>
                <w:sz w:val="20"/>
                <w:szCs w:val="20"/>
                <w:lang w:val="en-US"/>
              </w:rPr>
              <w:t>ru</w:t>
            </w:r>
            <w:r w:rsidRPr="00A52667">
              <w:rPr>
                <w:b/>
                <w:sz w:val="20"/>
                <w:szCs w:val="20"/>
              </w:rPr>
              <w:t>.</w:t>
            </w:r>
            <w:r>
              <w:rPr>
                <w:sz w:val="20"/>
                <w:szCs w:val="20"/>
              </w:rPr>
              <w:t xml:space="preserve"> </w:t>
            </w:r>
            <w:r w:rsidRPr="009F7458">
              <w:rPr>
                <w:sz w:val="20"/>
                <w:szCs w:val="20"/>
              </w:rPr>
              <w:t xml:space="preserve"> Способ предоставления информации определяется управляющей компанией</w:t>
            </w:r>
            <w:r>
              <w:rPr>
                <w:sz w:val="20"/>
                <w:szCs w:val="20"/>
              </w:rPr>
              <w:t>.</w:t>
            </w:r>
          </w:p>
          <w:p w:rsidR="00A275AD" w:rsidRPr="009F7458" w:rsidRDefault="00A275AD" w:rsidP="00A275AD">
            <w:pPr>
              <w:autoSpaceDE w:val="0"/>
              <w:autoSpaceDN w:val="0"/>
              <w:adjustRightInd w:val="0"/>
              <w:spacing w:after="120" w:line="240" w:lineRule="exact"/>
              <w:ind w:firstLine="539"/>
              <w:jc w:val="both"/>
              <w:rPr>
                <w:sz w:val="20"/>
                <w:szCs w:val="20"/>
              </w:rPr>
            </w:pPr>
            <w:r w:rsidRPr="009F7458">
              <w:rPr>
                <w:sz w:val="20"/>
                <w:szCs w:val="20"/>
              </w:rPr>
              <w:t xml:space="preserve">Сообщение о </w:t>
            </w:r>
            <w:r w:rsidRPr="00973C36">
              <w:rPr>
                <w:b/>
                <w:sz w:val="20"/>
                <w:szCs w:val="20"/>
              </w:rPr>
              <w:t xml:space="preserve">предоставлении в Банк России согласованных специализированным депозитарием </w:t>
            </w:r>
            <w:r w:rsidRPr="009F7458">
              <w:rPr>
                <w:sz w:val="20"/>
                <w:szCs w:val="20"/>
              </w:rPr>
              <w:t xml:space="preserve">изменений, которые вносятся в настоящие Правила, вручается или направляется владельцам инвестиционных паев не позднее 5 (Пяти) рабочих дней с даты </w:t>
            </w:r>
            <w:r w:rsidRPr="003C0764">
              <w:rPr>
                <w:sz w:val="20"/>
                <w:szCs w:val="20"/>
              </w:rPr>
              <w:t>представления указанных изменений в Банк России</w:t>
            </w:r>
            <w:r w:rsidRPr="009F7458">
              <w:rPr>
                <w:sz w:val="20"/>
                <w:szCs w:val="20"/>
              </w:rPr>
              <w:t>.</w:t>
            </w:r>
          </w:p>
          <w:p w:rsidR="00A275AD" w:rsidRPr="009F7458" w:rsidRDefault="00A275AD" w:rsidP="00A275AD">
            <w:pPr>
              <w:autoSpaceDE w:val="0"/>
              <w:autoSpaceDN w:val="0"/>
              <w:adjustRightInd w:val="0"/>
              <w:spacing w:after="120" w:line="240" w:lineRule="exact"/>
              <w:ind w:firstLine="539"/>
              <w:jc w:val="both"/>
              <w:rPr>
                <w:sz w:val="20"/>
                <w:szCs w:val="20"/>
              </w:rPr>
            </w:pPr>
            <w:r w:rsidRPr="009F7458">
              <w:rPr>
                <w:sz w:val="20"/>
                <w:szCs w:val="20"/>
              </w:rPr>
              <w:t xml:space="preserve">Изменения, которые вносятся в настоящие Правила, вступают в силу по истечении 3 (Трех) рабочих дней  со </w:t>
            </w:r>
            <w:r w:rsidRPr="00973C36">
              <w:rPr>
                <w:b/>
                <w:sz w:val="20"/>
                <w:szCs w:val="20"/>
              </w:rPr>
              <w:t>дня</w:t>
            </w:r>
            <w:r>
              <w:rPr>
                <w:sz w:val="20"/>
                <w:szCs w:val="20"/>
              </w:rPr>
              <w:t xml:space="preserve"> </w:t>
            </w:r>
            <w:r w:rsidRPr="00973C36">
              <w:rPr>
                <w:b/>
                <w:sz w:val="20"/>
                <w:szCs w:val="20"/>
              </w:rPr>
              <w:t>представления указанных изменений, согласованных специализированным депозитарием в Банк России</w:t>
            </w:r>
            <w:r>
              <w:rPr>
                <w:b/>
                <w:sz w:val="20"/>
                <w:szCs w:val="20"/>
              </w:rPr>
              <w:t>.</w:t>
            </w:r>
          </w:p>
          <w:p w:rsidR="00A275AD" w:rsidRPr="00201702" w:rsidRDefault="00A275AD" w:rsidP="00A275AD">
            <w:pPr>
              <w:autoSpaceDE w:val="0"/>
              <w:autoSpaceDN w:val="0"/>
              <w:adjustRightInd w:val="0"/>
              <w:spacing w:after="120" w:line="240" w:lineRule="exact"/>
              <w:ind w:firstLine="540"/>
              <w:jc w:val="both"/>
              <w:rPr>
                <w:sz w:val="20"/>
                <w:szCs w:val="20"/>
              </w:rPr>
            </w:pPr>
          </w:p>
        </w:tc>
      </w:tr>
    </w:tbl>
    <w:p w:rsidR="00064F9B" w:rsidRPr="00571200" w:rsidRDefault="00064F9B" w:rsidP="00064F9B">
      <w:pPr>
        <w:rPr>
          <w:sz w:val="22"/>
          <w:szCs w:val="22"/>
        </w:rPr>
      </w:pPr>
    </w:p>
    <w:p w:rsidR="003F53C2" w:rsidRDefault="003F53C2" w:rsidP="00064F9B">
      <w:pPr>
        <w:rPr>
          <w:sz w:val="22"/>
          <w:szCs w:val="22"/>
        </w:rPr>
      </w:pPr>
    </w:p>
    <w:p w:rsidR="00FD2D45" w:rsidRDefault="006A3C08" w:rsidP="00064F9B">
      <w:pPr>
        <w:rPr>
          <w:sz w:val="22"/>
          <w:szCs w:val="22"/>
        </w:rPr>
      </w:pPr>
      <w:r>
        <w:rPr>
          <w:sz w:val="22"/>
          <w:szCs w:val="22"/>
        </w:rPr>
        <w:t>Генеральн</w:t>
      </w:r>
      <w:r w:rsidR="003C0764">
        <w:rPr>
          <w:sz w:val="22"/>
          <w:szCs w:val="22"/>
        </w:rPr>
        <w:t>ый</w:t>
      </w:r>
      <w:r>
        <w:rPr>
          <w:sz w:val="22"/>
          <w:szCs w:val="22"/>
        </w:rPr>
        <w:t xml:space="preserve"> директор</w:t>
      </w:r>
    </w:p>
    <w:p w:rsidR="003F53C2" w:rsidRDefault="00FD2D45" w:rsidP="00064F9B">
      <w:pPr>
        <w:rPr>
          <w:sz w:val="22"/>
          <w:szCs w:val="22"/>
        </w:rPr>
      </w:pPr>
      <w:r>
        <w:rPr>
          <w:sz w:val="22"/>
          <w:szCs w:val="22"/>
        </w:rPr>
        <w:t xml:space="preserve">ТКБ Инвестмент Партнерс (АО)                                                                                  </w:t>
      </w:r>
      <w:r w:rsidR="003C0764">
        <w:rPr>
          <w:sz w:val="22"/>
          <w:szCs w:val="22"/>
        </w:rPr>
        <w:t>В.Е.Кириллов</w:t>
      </w:r>
      <w:r w:rsidR="003B1D86">
        <w:rPr>
          <w:sz w:val="22"/>
          <w:szCs w:val="22"/>
        </w:rPr>
        <w:t xml:space="preserve">                                                                           </w:t>
      </w:r>
    </w:p>
    <w:p w:rsidR="003F53C2" w:rsidRDefault="003F53C2" w:rsidP="00064F9B">
      <w:pPr>
        <w:rPr>
          <w:sz w:val="22"/>
          <w:szCs w:val="22"/>
        </w:rPr>
      </w:pPr>
    </w:p>
    <w:p w:rsidR="003B0092" w:rsidRDefault="003B0092" w:rsidP="00064F9B">
      <w:pPr>
        <w:rPr>
          <w:sz w:val="22"/>
          <w:szCs w:val="22"/>
        </w:rPr>
      </w:pPr>
    </w:p>
    <w:p w:rsidR="003F53C2" w:rsidRDefault="003F53C2" w:rsidP="00064F9B">
      <w:pPr>
        <w:rPr>
          <w:sz w:val="22"/>
          <w:szCs w:val="22"/>
        </w:rPr>
      </w:pPr>
    </w:p>
    <w:sectPr w:rsidR="003F53C2" w:rsidSect="001C78CA">
      <w:footerReference w:type="default" r:id="rId11"/>
      <w:pgSz w:w="11906" w:h="16838"/>
      <w:pgMar w:top="426" w:right="709"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6A" w:rsidRDefault="00BA436A" w:rsidP="00D95E90">
      <w:pPr>
        <w:pStyle w:val="ConsPlusNormal"/>
      </w:pPr>
      <w:r>
        <w:separator/>
      </w:r>
    </w:p>
  </w:endnote>
  <w:endnote w:type="continuationSeparator" w:id="0">
    <w:p w:rsidR="00BA436A" w:rsidRDefault="00BA436A" w:rsidP="00D95E9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5A" w:rsidRDefault="00DB5C82" w:rsidP="00F62276">
    <w:pPr>
      <w:pStyle w:val="a4"/>
      <w:framePr w:wrap="auto" w:vAnchor="text" w:hAnchor="margin" w:xAlign="right" w:y="1"/>
      <w:rPr>
        <w:rStyle w:val="a6"/>
      </w:rPr>
    </w:pPr>
    <w:r>
      <w:rPr>
        <w:rStyle w:val="a6"/>
      </w:rPr>
      <w:fldChar w:fldCharType="begin"/>
    </w:r>
    <w:r w:rsidR="002F1F5A">
      <w:rPr>
        <w:rStyle w:val="a6"/>
      </w:rPr>
      <w:instrText xml:space="preserve">PAGE  </w:instrText>
    </w:r>
    <w:r>
      <w:rPr>
        <w:rStyle w:val="a6"/>
      </w:rPr>
      <w:fldChar w:fldCharType="separate"/>
    </w:r>
    <w:r w:rsidR="0005170F">
      <w:rPr>
        <w:rStyle w:val="a6"/>
        <w:noProof/>
      </w:rPr>
      <w:t>1</w:t>
    </w:r>
    <w:r>
      <w:rPr>
        <w:rStyle w:val="a6"/>
      </w:rPr>
      <w:fldChar w:fldCharType="end"/>
    </w:r>
  </w:p>
  <w:p w:rsidR="002F1F5A" w:rsidRDefault="002F1F5A" w:rsidP="00CA5C8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6A" w:rsidRDefault="00BA436A" w:rsidP="00D95E90">
      <w:pPr>
        <w:pStyle w:val="ConsPlusNormal"/>
      </w:pPr>
      <w:r>
        <w:separator/>
      </w:r>
    </w:p>
  </w:footnote>
  <w:footnote w:type="continuationSeparator" w:id="0">
    <w:p w:rsidR="00BA436A" w:rsidRDefault="00BA436A" w:rsidP="00D95E90">
      <w:pPr>
        <w:pStyle w:val="ConsPlusNorm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7C822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E3617"/>
    <w:multiLevelType w:val="hybridMultilevel"/>
    <w:tmpl w:val="1DEE7B32"/>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3C5601"/>
    <w:multiLevelType w:val="hybridMultilevel"/>
    <w:tmpl w:val="77BCC2D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0C5A14E1"/>
    <w:multiLevelType w:val="hybridMultilevel"/>
    <w:tmpl w:val="7646EE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0F5285B"/>
    <w:multiLevelType w:val="hybridMultilevel"/>
    <w:tmpl w:val="D2D83462"/>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B0290E"/>
    <w:multiLevelType w:val="hybridMultilevel"/>
    <w:tmpl w:val="6640F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B524BAD"/>
    <w:multiLevelType w:val="hybridMultilevel"/>
    <w:tmpl w:val="5428087A"/>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2E127F"/>
    <w:multiLevelType w:val="hybridMultilevel"/>
    <w:tmpl w:val="2C5AE5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0"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666531F"/>
    <w:multiLevelType w:val="hybridMultilevel"/>
    <w:tmpl w:val="2B2ED0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C0493F"/>
    <w:multiLevelType w:val="hybridMultilevel"/>
    <w:tmpl w:val="3F588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BB4373"/>
    <w:multiLevelType w:val="hybridMultilevel"/>
    <w:tmpl w:val="A9D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7B71F9"/>
    <w:multiLevelType w:val="hybridMultilevel"/>
    <w:tmpl w:val="0FC416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39761F76"/>
    <w:multiLevelType w:val="hybridMultilevel"/>
    <w:tmpl w:val="253E46EA"/>
    <w:lvl w:ilvl="0" w:tplc="10F2821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322CDC"/>
    <w:multiLevelType w:val="hybridMultilevel"/>
    <w:tmpl w:val="4C02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A84702"/>
    <w:multiLevelType w:val="hybridMultilevel"/>
    <w:tmpl w:val="2F10C11A"/>
    <w:lvl w:ilvl="0" w:tplc="758E54DC">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B4439EB"/>
    <w:multiLevelType w:val="hybridMultilevel"/>
    <w:tmpl w:val="7026C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7F51237"/>
    <w:multiLevelType w:val="hybridMultilevel"/>
    <w:tmpl w:val="7592D0C6"/>
    <w:lvl w:ilvl="0" w:tplc="A9C69388">
      <w:start w:val="32"/>
      <w:numFmt w:val="decimal"/>
      <w:lvlText w:val="%1."/>
      <w:lvlJc w:val="left"/>
      <w:pPr>
        <w:ind w:left="1352" w:hanging="360"/>
      </w:pPr>
      <w:rPr>
        <w:rFonts w:cs="Times New Roman" w:hint="default"/>
      </w:rPr>
    </w:lvl>
    <w:lvl w:ilvl="1" w:tplc="04190019" w:tentative="1">
      <w:start w:val="1"/>
      <w:numFmt w:val="lowerLetter"/>
      <w:lvlText w:val="%2."/>
      <w:lvlJc w:val="left"/>
      <w:pPr>
        <w:ind w:left="2432" w:hanging="360"/>
      </w:pPr>
      <w:rPr>
        <w:rFonts w:cs="Times New Roman"/>
      </w:rPr>
    </w:lvl>
    <w:lvl w:ilvl="2" w:tplc="0419001B" w:tentative="1">
      <w:start w:val="1"/>
      <w:numFmt w:val="lowerRoman"/>
      <w:lvlText w:val="%3."/>
      <w:lvlJc w:val="right"/>
      <w:pPr>
        <w:ind w:left="3152" w:hanging="180"/>
      </w:pPr>
      <w:rPr>
        <w:rFonts w:cs="Times New Roman"/>
      </w:rPr>
    </w:lvl>
    <w:lvl w:ilvl="3" w:tplc="0419000F" w:tentative="1">
      <w:start w:val="1"/>
      <w:numFmt w:val="decimal"/>
      <w:lvlText w:val="%4."/>
      <w:lvlJc w:val="left"/>
      <w:pPr>
        <w:ind w:left="3872" w:hanging="360"/>
      </w:pPr>
      <w:rPr>
        <w:rFonts w:cs="Times New Roman"/>
      </w:rPr>
    </w:lvl>
    <w:lvl w:ilvl="4" w:tplc="04190019" w:tentative="1">
      <w:start w:val="1"/>
      <w:numFmt w:val="lowerLetter"/>
      <w:lvlText w:val="%5."/>
      <w:lvlJc w:val="left"/>
      <w:pPr>
        <w:ind w:left="4592" w:hanging="360"/>
      </w:pPr>
      <w:rPr>
        <w:rFonts w:cs="Times New Roman"/>
      </w:rPr>
    </w:lvl>
    <w:lvl w:ilvl="5" w:tplc="0419001B" w:tentative="1">
      <w:start w:val="1"/>
      <w:numFmt w:val="lowerRoman"/>
      <w:lvlText w:val="%6."/>
      <w:lvlJc w:val="right"/>
      <w:pPr>
        <w:ind w:left="5312" w:hanging="180"/>
      </w:pPr>
      <w:rPr>
        <w:rFonts w:cs="Times New Roman"/>
      </w:rPr>
    </w:lvl>
    <w:lvl w:ilvl="6" w:tplc="0419000F" w:tentative="1">
      <w:start w:val="1"/>
      <w:numFmt w:val="decimal"/>
      <w:lvlText w:val="%7."/>
      <w:lvlJc w:val="left"/>
      <w:pPr>
        <w:ind w:left="6032" w:hanging="360"/>
      </w:pPr>
      <w:rPr>
        <w:rFonts w:cs="Times New Roman"/>
      </w:rPr>
    </w:lvl>
    <w:lvl w:ilvl="7" w:tplc="04190019" w:tentative="1">
      <w:start w:val="1"/>
      <w:numFmt w:val="lowerLetter"/>
      <w:lvlText w:val="%8."/>
      <w:lvlJc w:val="left"/>
      <w:pPr>
        <w:ind w:left="6752" w:hanging="360"/>
      </w:pPr>
      <w:rPr>
        <w:rFonts w:cs="Times New Roman"/>
      </w:rPr>
    </w:lvl>
    <w:lvl w:ilvl="8" w:tplc="0419001B" w:tentative="1">
      <w:start w:val="1"/>
      <w:numFmt w:val="lowerRoman"/>
      <w:lvlText w:val="%9."/>
      <w:lvlJc w:val="right"/>
      <w:pPr>
        <w:ind w:left="7472" w:hanging="180"/>
      </w:pPr>
      <w:rPr>
        <w:rFonts w:cs="Times New Roman"/>
      </w:rPr>
    </w:lvl>
  </w:abstractNum>
  <w:abstractNum w:abstractNumId="20" w15:restartNumberingAfterBreak="0">
    <w:nsid w:val="595E333C"/>
    <w:multiLevelType w:val="hybridMultilevel"/>
    <w:tmpl w:val="9C68DB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E6C2292"/>
    <w:multiLevelType w:val="hybridMultilevel"/>
    <w:tmpl w:val="CACEE41A"/>
    <w:lvl w:ilvl="0" w:tplc="5D669966">
      <w:start w:val="1"/>
      <w:numFmt w:val="decimal"/>
      <w:lvlText w:val="%1)"/>
      <w:lvlJc w:val="left"/>
      <w:pPr>
        <w:ind w:left="1515" w:hanging="948"/>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5AB1A7A"/>
    <w:multiLevelType w:val="hybridMultilevel"/>
    <w:tmpl w:val="416093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B0953BB"/>
    <w:multiLevelType w:val="hybridMultilevel"/>
    <w:tmpl w:val="A688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4E75A5"/>
    <w:multiLevelType w:val="hybridMultilevel"/>
    <w:tmpl w:val="8C02C1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F7C18DD"/>
    <w:multiLevelType w:val="hybridMultilevel"/>
    <w:tmpl w:val="A5983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10"/>
  </w:num>
  <w:num w:numId="2">
    <w:abstractNumId w:val="11"/>
  </w:num>
  <w:num w:numId="3">
    <w:abstractNumId w:val="17"/>
  </w:num>
  <w:num w:numId="4">
    <w:abstractNumId w:val="22"/>
  </w:num>
  <w:num w:numId="5">
    <w:abstractNumId w:val="24"/>
  </w:num>
  <w:num w:numId="6">
    <w:abstractNumId w:val="20"/>
  </w:num>
  <w:num w:numId="7">
    <w:abstractNumId w:val="12"/>
  </w:num>
  <w:num w:numId="8">
    <w:abstractNumId w:val="4"/>
  </w:num>
  <w:num w:numId="9">
    <w:abstractNumId w:val="5"/>
  </w:num>
  <w:num w:numId="10">
    <w:abstractNumId w:val="16"/>
  </w:num>
  <w:num w:numId="11">
    <w:abstractNumId w:val="2"/>
  </w:num>
  <w:num w:numId="12">
    <w:abstractNumId w:val="14"/>
  </w:num>
  <w:num w:numId="13">
    <w:abstractNumId w:val="23"/>
  </w:num>
  <w:num w:numId="14">
    <w:abstractNumId w:val="13"/>
  </w:num>
  <w:num w:numId="15">
    <w:abstractNumId w:val="0"/>
  </w:num>
  <w:num w:numId="16">
    <w:abstractNumId w:val="21"/>
  </w:num>
  <w:num w:numId="17">
    <w:abstractNumId w:val="18"/>
  </w:num>
  <w:num w:numId="18">
    <w:abstractNumId w:val="3"/>
  </w:num>
  <w:num w:numId="19">
    <w:abstractNumId w:val="9"/>
  </w:num>
  <w:num w:numId="20">
    <w:abstractNumId w:val="25"/>
  </w:num>
  <w:num w:numId="21">
    <w:abstractNumId w:val="1"/>
    <w:lvlOverride w:ilvl="0">
      <w:lvl w:ilvl="0">
        <w:numFmt w:val="bullet"/>
        <w:lvlText w:val="-"/>
        <w:legacy w:legacy="1" w:legacySpace="0" w:legacyIndent="144"/>
        <w:lvlJc w:val="left"/>
        <w:rPr>
          <w:rFonts w:ascii="Times New Roman" w:hAnsi="Times New Roman" w:hint="default"/>
        </w:rPr>
      </w:lvl>
    </w:lvlOverride>
  </w:num>
  <w:num w:numId="22">
    <w:abstractNumId w:val="8"/>
  </w:num>
  <w:num w:numId="23">
    <w:abstractNumId w:val="7"/>
  </w:num>
  <w:num w:numId="24">
    <w:abstractNumId w:val="19"/>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5"/>
    <w:rsid w:val="00000FEA"/>
    <w:rsid w:val="00006845"/>
    <w:rsid w:val="0000764B"/>
    <w:rsid w:val="00011002"/>
    <w:rsid w:val="00011C28"/>
    <w:rsid w:val="000248D6"/>
    <w:rsid w:val="000354CA"/>
    <w:rsid w:val="00045BBD"/>
    <w:rsid w:val="0004703B"/>
    <w:rsid w:val="000472E1"/>
    <w:rsid w:val="000500AD"/>
    <w:rsid w:val="0005170F"/>
    <w:rsid w:val="00053EC8"/>
    <w:rsid w:val="00061E04"/>
    <w:rsid w:val="00064999"/>
    <w:rsid w:val="00064F9B"/>
    <w:rsid w:val="00071180"/>
    <w:rsid w:val="00072214"/>
    <w:rsid w:val="00072C2D"/>
    <w:rsid w:val="0007729F"/>
    <w:rsid w:val="000852FE"/>
    <w:rsid w:val="0009646C"/>
    <w:rsid w:val="000A3FA6"/>
    <w:rsid w:val="000B51A0"/>
    <w:rsid w:val="000B5293"/>
    <w:rsid w:val="000C0A28"/>
    <w:rsid w:val="000C1B17"/>
    <w:rsid w:val="000C3C5B"/>
    <w:rsid w:val="000C4F79"/>
    <w:rsid w:val="000C6750"/>
    <w:rsid w:val="000D206E"/>
    <w:rsid w:val="000E15C0"/>
    <w:rsid w:val="000E4A68"/>
    <w:rsid w:val="000E769E"/>
    <w:rsid w:val="000F57A1"/>
    <w:rsid w:val="00101E87"/>
    <w:rsid w:val="00115667"/>
    <w:rsid w:val="00117F2D"/>
    <w:rsid w:val="00125C48"/>
    <w:rsid w:val="00132D59"/>
    <w:rsid w:val="00140DF4"/>
    <w:rsid w:val="00142225"/>
    <w:rsid w:val="00143E99"/>
    <w:rsid w:val="00144D6D"/>
    <w:rsid w:val="00147351"/>
    <w:rsid w:val="001763F5"/>
    <w:rsid w:val="001854FA"/>
    <w:rsid w:val="00192083"/>
    <w:rsid w:val="00194CC3"/>
    <w:rsid w:val="00195528"/>
    <w:rsid w:val="001A0252"/>
    <w:rsid w:val="001A0475"/>
    <w:rsid w:val="001A4C53"/>
    <w:rsid w:val="001B02CC"/>
    <w:rsid w:val="001B1E93"/>
    <w:rsid w:val="001B45A6"/>
    <w:rsid w:val="001B7F60"/>
    <w:rsid w:val="001C78CA"/>
    <w:rsid w:val="001D0799"/>
    <w:rsid w:val="001D1095"/>
    <w:rsid w:val="001D24E0"/>
    <w:rsid w:val="001E5014"/>
    <w:rsid w:val="001E686B"/>
    <w:rsid w:val="001F6C65"/>
    <w:rsid w:val="00201702"/>
    <w:rsid w:val="00211BD1"/>
    <w:rsid w:val="00227380"/>
    <w:rsid w:val="00235977"/>
    <w:rsid w:val="00240CE1"/>
    <w:rsid w:val="00247059"/>
    <w:rsid w:val="002505F3"/>
    <w:rsid w:val="00251EA8"/>
    <w:rsid w:val="0025789C"/>
    <w:rsid w:val="00264DEF"/>
    <w:rsid w:val="002661A3"/>
    <w:rsid w:val="00270B09"/>
    <w:rsid w:val="00276A2A"/>
    <w:rsid w:val="00277132"/>
    <w:rsid w:val="0028237F"/>
    <w:rsid w:val="002823D6"/>
    <w:rsid w:val="002916E2"/>
    <w:rsid w:val="00293B80"/>
    <w:rsid w:val="00297518"/>
    <w:rsid w:val="002A3BAB"/>
    <w:rsid w:val="002C23B2"/>
    <w:rsid w:val="002D5801"/>
    <w:rsid w:val="002E0785"/>
    <w:rsid w:val="002F19E0"/>
    <w:rsid w:val="002F1E97"/>
    <w:rsid w:val="002F1F5A"/>
    <w:rsid w:val="002F4320"/>
    <w:rsid w:val="00317D83"/>
    <w:rsid w:val="00321B82"/>
    <w:rsid w:val="00326CC5"/>
    <w:rsid w:val="00343A9E"/>
    <w:rsid w:val="0035581B"/>
    <w:rsid w:val="003570EB"/>
    <w:rsid w:val="00377065"/>
    <w:rsid w:val="003810E5"/>
    <w:rsid w:val="00382AEA"/>
    <w:rsid w:val="00387174"/>
    <w:rsid w:val="00393F01"/>
    <w:rsid w:val="003961DB"/>
    <w:rsid w:val="003B0092"/>
    <w:rsid w:val="003B0448"/>
    <w:rsid w:val="003B1D86"/>
    <w:rsid w:val="003B65A3"/>
    <w:rsid w:val="003C0764"/>
    <w:rsid w:val="003C6297"/>
    <w:rsid w:val="003D3B08"/>
    <w:rsid w:val="003D6FF6"/>
    <w:rsid w:val="003E39CA"/>
    <w:rsid w:val="003F2825"/>
    <w:rsid w:val="003F53C2"/>
    <w:rsid w:val="003F7819"/>
    <w:rsid w:val="00402130"/>
    <w:rsid w:val="00402B8C"/>
    <w:rsid w:val="0040302A"/>
    <w:rsid w:val="00407995"/>
    <w:rsid w:val="004135B2"/>
    <w:rsid w:val="004147A9"/>
    <w:rsid w:val="0043756A"/>
    <w:rsid w:val="00445F63"/>
    <w:rsid w:val="00446567"/>
    <w:rsid w:val="004507B6"/>
    <w:rsid w:val="00451FC2"/>
    <w:rsid w:val="00460E46"/>
    <w:rsid w:val="004677A0"/>
    <w:rsid w:val="00484DAC"/>
    <w:rsid w:val="004930D9"/>
    <w:rsid w:val="0049610D"/>
    <w:rsid w:val="004B2530"/>
    <w:rsid w:val="004B5CA3"/>
    <w:rsid w:val="004D3C27"/>
    <w:rsid w:val="004D53E0"/>
    <w:rsid w:val="004E3E36"/>
    <w:rsid w:val="004E44A3"/>
    <w:rsid w:val="004E5A65"/>
    <w:rsid w:val="004E781B"/>
    <w:rsid w:val="004F3264"/>
    <w:rsid w:val="00514325"/>
    <w:rsid w:val="00531A18"/>
    <w:rsid w:val="00532DF2"/>
    <w:rsid w:val="00536A9C"/>
    <w:rsid w:val="00537DF6"/>
    <w:rsid w:val="00542743"/>
    <w:rsid w:val="00547CFD"/>
    <w:rsid w:val="005517CE"/>
    <w:rsid w:val="00562B71"/>
    <w:rsid w:val="005705A7"/>
    <w:rsid w:val="00571200"/>
    <w:rsid w:val="0058568A"/>
    <w:rsid w:val="00592F0C"/>
    <w:rsid w:val="005B4FDA"/>
    <w:rsid w:val="005C198C"/>
    <w:rsid w:val="005C430F"/>
    <w:rsid w:val="005D0BB3"/>
    <w:rsid w:val="005E7CDB"/>
    <w:rsid w:val="005F408A"/>
    <w:rsid w:val="005F416F"/>
    <w:rsid w:val="005F7CA0"/>
    <w:rsid w:val="00602C69"/>
    <w:rsid w:val="0060530D"/>
    <w:rsid w:val="00606584"/>
    <w:rsid w:val="00607B91"/>
    <w:rsid w:val="006114F2"/>
    <w:rsid w:val="00611917"/>
    <w:rsid w:val="0061400D"/>
    <w:rsid w:val="00614E7F"/>
    <w:rsid w:val="0062251F"/>
    <w:rsid w:val="00627CE9"/>
    <w:rsid w:val="00630D81"/>
    <w:rsid w:val="00646CB5"/>
    <w:rsid w:val="0065593E"/>
    <w:rsid w:val="0066100D"/>
    <w:rsid w:val="00666B90"/>
    <w:rsid w:val="00686A9F"/>
    <w:rsid w:val="00693ED9"/>
    <w:rsid w:val="00696E0B"/>
    <w:rsid w:val="006A054B"/>
    <w:rsid w:val="006A3C08"/>
    <w:rsid w:val="006A4D30"/>
    <w:rsid w:val="006A6292"/>
    <w:rsid w:val="006A7E0C"/>
    <w:rsid w:val="006B68F1"/>
    <w:rsid w:val="006C0E36"/>
    <w:rsid w:val="006C78C0"/>
    <w:rsid w:val="006D389A"/>
    <w:rsid w:val="006E1201"/>
    <w:rsid w:val="006E447A"/>
    <w:rsid w:val="0070638D"/>
    <w:rsid w:val="007067AB"/>
    <w:rsid w:val="00724CBB"/>
    <w:rsid w:val="00737D00"/>
    <w:rsid w:val="00741853"/>
    <w:rsid w:val="00746F40"/>
    <w:rsid w:val="007531F8"/>
    <w:rsid w:val="00757603"/>
    <w:rsid w:val="00766AF7"/>
    <w:rsid w:val="00780909"/>
    <w:rsid w:val="007818EB"/>
    <w:rsid w:val="00786744"/>
    <w:rsid w:val="00792D74"/>
    <w:rsid w:val="0079599D"/>
    <w:rsid w:val="007A046D"/>
    <w:rsid w:val="007A3F60"/>
    <w:rsid w:val="007C0CF8"/>
    <w:rsid w:val="007C1948"/>
    <w:rsid w:val="007C19FC"/>
    <w:rsid w:val="007C3760"/>
    <w:rsid w:val="007C65D9"/>
    <w:rsid w:val="007D1013"/>
    <w:rsid w:val="007D2BC1"/>
    <w:rsid w:val="007D34EB"/>
    <w:rsid w:val="007D4563"/>
    <w:rsid w:val="007D629C"/>
    <w:rsid w:val="007D6758"/>
    <w:rsid w:val="007E3AF7"/>
    <w:rsid w:val="007E6E7F"/>
    <w:rsid w:val="007F3CEB"/>
    <w:rsid w:val="007F50BD"/>
    <w:rsid w:val="00800C86"/>
    <w:rsid w:val="00805CDD"/>
    <w:rsid w:val="00805DBF"/>
    <w:rsid w:val="0080643E"/>
    <w:rsid w:val="00807F13"/>
    <w:rsid w:val="00810633"/>
    <w:rsid w:val="008116BA"/>
    <w:rsid w:val="0081463D"/>
    <w:rsid w:val="008163E3"/>
    <w:rsid w:val="008177DF"/>
    <w:rsid w:val="00833AF7"/>
    <w:rsid w:val="008466A7"/>
    <w:rsid w:val="008566B9"/>
    <w:rsid w:val="00865508"/>
    <w:rsid w:val="008657A4"/>
    <w:rsid w:val="008669D5"/>
    <w:rsid w:val="00870615"/>
    <w:rsid w:val="00875317"/>
    <w:rsid w:val="00893302"/>
    <w:rsid w:val="008A39B6"/>
    <w:rsid w:val="008A7A69"/>
    <w:rsid w:val="008C007B"/>
    <w:rsid w:val="008C178F"/>
    <w:rsid w:val="008C1971"/>
    <w:rsid w:val="008C490C"/>
    <w:rsid w:val="008D2487"/>
    <w:rsid w:val="008D32BA"/>
    <w:rsid w:val="008D41E8"/>
    <w:rsid w:val="008D4297"/>
    <w:rsid w:val="008D6587"/>
    <w:rsid w:val="008E32C4"/>
    <w:rsid w:val="008F7E79"/>
    <w:rsid w:val="00902E63"/>
    <w:rsid w:val="00903911"/>
    <w:rsid w:val="00911075"/>
    <w:rsid w:val="009253AB"/>
    <w:rsid w:val="009279FE"/>
    <w:rsid w:val="00927AC3"/>
    <w:rsid w:val="00930116"/>
    <w:rsid w:val="00931491"/>
    <w:rsid w:val="00932506"/>
    <w:rsid w:val="0094261A"/>
    <w:rsid w:val="009440D9"/>
    <w:rsid w:val="00950688"/>
    <w:rsid w:val="0095183F"/>
    <w:rsid w:val="0096102A"/>
    <w:rsid w:val="00963E74"/>
    <w:rsid w:val="009709A9"/>
    <w:rsid w:val="00973C36"/>
    <w:rsid w:val="00974AE1"/>
    <w:rsid w:val="00977498"/>
    <w:rsid w:val="009A04D4"/>
    <w:rsid w:val="009A3C38"/>
    <w:rsid w:val="009B1459"/>
    <w:rsid w:val="009B234C"/>
    <w:rsid w:val="009C108F"/>
    <w:rsid w:val="009C3559"/>
    <w:rsid w:val="009C631C"/>
    <w:rsid w:val="009C73CF"/>
    <w:rsid w:val="009C7D15"/>
    <w:rsid w:val="009D03A0"/>
    <w:rsid w:val="009D1142"/>
    <w:rsid w:val="009D34CA"/>
    <w:rsid w:val="009D4150"/>
    <w:rsid w:val="009E2991"/>
    <w:rsid w:val="009E3473"/>
    <w:rsid w:val="009E5700"/>
    <w:rsid w:val="009F1A88"/>
    <w:rsid w:val="009F7458"/>
    <w:rsid w:val="00A012B3"/>
    <w:rsid w:val="00A16046"/>
    <w:rsid w:val="00A1608D"/>
    <w:rsid w:val="00A275AD"/>
    <w:rsid w:val="00A3044F"/>
    <w:rsid w:val="00A450C9"/>
    <w:rsid w:val="00A523BB"/>
    <w:rsid w:val="00A52667"/>
    <w:rsid w:val="00A62CAC"/>
    <w:rsid w:val="00A670DA"/>
    <w:rsid w:val="00A732D1"/>
    <w:rsid w:val="00A77008"/>
    <w:rsid w:val="00A801AE"/>
    <w:rsid w:val="00A903F2"/>
    <w:rsid w:val="00A91C1A"/>
    <w:rsid w:val="00A91DD2"/>
    <w:rsid w:val="00AA0DFD"/>
    <w:rsid w:val="00AA5DD4"/>
    <w:rsid w:val="00AB274F"/>
    <w:rsid w:val="00AB4C3C"/>
    <w:rsid w:val="00AC0ED2"/>
    <w:rsid w:val="00AD1186"/>
    <w:rsid w:val="00AD5139"/>
    <w:rsid w:val="00AD561D"/>
    <w:rsid w:val="00AD575E"/>
    <w:rsid w:val="00AD62C6"/>
    <w:rsid w:val="00AD62D9"/>
    <w:rsid w:val="00AE2C08"/>
    <w:rsid w:val="00AE44D8"/>
    <w:rsid w:val="00AE702A"/>
    <w:rsid w:val="00AF08FE"/>
    <w:rsid w:val="00AF09BD"/>
    <w:rsid w:val="00AF7DB4"/>
    <w:rsid w:val="00B15DFF"/>
    <w:rsid w:val="00B217B6"/>
    <w:rsid w:val="00B2425B"/>
    <w:rsid w:val="00B30C32"/>
    <w:rsid w:val="00B34994"/>
    <w:rsid w:val="00B476E2"/>
    <w:rsid w:val="00B6074C"/>
    <w:rsid w:val="00B70B81"/>
    <w:rsid w:val="00B76C8B"/>
    <w:rsid w:val="00B9154E"/>
    <w:rsid w:val="00B946CA"/>
    <w:rsid w:val="00BA436A"/>
    <w:rsid w:val="00BC1BDA"/>
    <w:rsid w:val="00BC4AE4"/>
    <w:rsid w:val="00BC5480"/>
    <w:rsid w:val="00BD778A"/>
    <w:rsid w:val="00BE3BD1"/>
    <w:rsid w:val="00BE7FE0"/>
    <w:rsid w:val="00BF2989"/>
    <w:rsid w:val="00BF465F"/>
    <w:rsid w:val="00C04614"/>
    <w:rsid w:val="00C066F1"/>
    <w:rsid w:val="00C108D7"/>
    <w:rsid w:val="00C1139A"/>
    <w:rsid w:val="00C1540F"/>
    <w:rsid w:val="00C17147"/>
    <w:rsid w:val="00C3099E"/>
    <w:rsid w:val="00C4602B"/>
    <w:rsid w:val="00C6093E"/>
    <w:rsid w:val="00C67B30"/>
    <w:rsid w:val="00C67EAD"/>
    <w:rsid w:val="00CA0712"/>
    <w:rsid w:val="00CA5C84"/>
    <w:rsid w:val="00CB0814"/>
    <w:rsid w:val="00CC023D"/>
    <w:rsid w:val="00CC1AD9"/>
    <w:rsid w:val="00CD6761"/>
    <w:rsid w:val="00CD7D56"/>
    <w:rsid w:val="00CE3F5D"/>
    <w:rsid w:val="00CE628E"/>
    <w:rsid w:val="00CF1DAE"/>
    <w:rsid w:val="00CF468B"/>
    <w:rsid w:val="00CF4E7F"/>
    <w:rsid w:val="00CF5552"/>
    <w:rsid w:val="00CF7A51"/>
    <w:rsid w:val="00D02BE1"/>
    <w:rsid w:val="00D117CA"/>
    <w:rsid w:val="00D2128B"/>
    <w:rsid w:val="00D33CCC"/>
    <w:rsid w:val="00D349A9"/>
    <w:rsid w:val="00D34B25"/>
    <w:rsid w:val="00D368B5"/>
    <w:rsid w:val="00D37DFA"/>
    <w:rsid w:val="00D42585"/>
    <w:rsid w:val="00D51C8B"/>
    <w:rsid w:val="00D5441E"/>
    <w:rsid w:val="00D557AA"/>
    <w:rsid w:val="00D574CE"/>
    <w:rsid w:val="00D658F8"/>
    <w:rsid w:val="00D740B5"/>
    <w:rsid w:val="00D77B66"/>
    <w:rsid w:val="00D807DB"/>
    <w:rsid w:val="00D80EB3"/>
    <w:rsid w:val="00D827BC"/>
    <w:rsid w:val="00D82D3A"/>
    <w:rsid w:val="00D8578F"/>
    <w:rsid w:val="00D90FDA"/>
    <w:rsid w:val="00D911CA"/>
    <w:rsid w:val="00D95E90"/>
    <w:rsid w:val="00DA380C"/>
    <w:rsid w:val="00DA500B"/>
    <w:rsid w:val="00DB0CF9"/>
    <w:rsid w:val="00DB49E2"/>
    <w:rsid w:val="00DB51BE"/>
    <w:rsid w:val="00DB5C82"/>
    <w:rsid w:val="00DC0B71"/>
    <w:rsid w:val="00DC7E09"/>
    <w:rsid w:val="00DD16C6"/>
    <w:rsid w:val="00DD314D"/>
    <w:rsid w:val="00DD57BE"/>
    <w:rsid w:val="00DE6B73"/>
    <w:rsid w:val="00DE728D"/>
    <w:rsid w:val="00DF2D71"/>
    <w:rsid w:val="00DF65B1"/>
    <w:rsid w:val="00DF6CEC"/>
    <w:rsid w:val="00DF77AF"/>
    <w:rsid w:val="00E0057E"/>
    <w:rsid w:val="00E0372B"/>
    <w:rsid w:val="00E0403E"/>
    <w:rsid w:val="00E0403F"/>
    <w:rsid w:val="00E26B50"/>
    <w:rsid w:val="00E31508"/>
    <w:rsid w:val="00E33828"/>
    <w:rsid w:val="00E33B98"/>
    <w:rsid w:val="00E35315"/>
    <w:rsid w:val="00E36068"/>
    <w:rsid w:val="00E50E07"/>
    <w:rsid w:val="00E630D6"/>
    <w:rsid w:val="00E703BB"/>
    <w:rsid w:val="00E80B57"/>
    <w:rsid w:val="00E81DFF"/>
    <w:rsid w:val="00E879C4"/>
    <w:rsid w:val="00E903FB"/>
    <w:rsid w:val="00EB0BB8"/>
    <w:rsid w:val="00EB70A9"/>
    <w:rsid w:val="00EB7D9D"/>
    <w:rsid w:val="00EC6B2A"/>
    <w:rsid w:val="00ED23CA"/>
    <w:rsid w:val="00ED510A"/>
    <w:rsid w:val="00ED744D"/>
    <w:rsid w:val="00ED7B6D"/>
    <w:rsid w:val="00EE15AE"/>
    <w:rsid w:val="00EE3874"/>
    <w:rsid w:val="00EE4212"/>
    <w:rsid w:val="00EE678B"/>
    <w:rsid w:val="00F000A2"/>
    <w:rsid w:val="00F00D23"/>
    <w:rsid w:val="00F070F2"/>
    <w:rsid w:val="00F0792B"/>
    <w:rsid w:val="00F10B49"/>
    <w:rsid w:val="00F12289"/>
    <w:rsid w:val="00F211E5"/>
    <w:rsid w:val="00F2180E"/>
    <w:rsid w:val="00F267AD"/>
    <w:rsid w:val="00F34535"/>
    <w:rsid w:val="00F45E53"/>
    <w:rsid w:val="00F53330"/>
    <w:rsid w:val="00F56B0E"/>
    <w:rsid w:val="00F62276"/>
    <w:rsid w:val="00F8144A"/>
    <w:rsid w:val="00F871EA"/>
    <w:rsid w:val="00F91C86"/>
    <w:rsid w:val="00F93CA2"/>
    <w:rsid w:val="00F96D68"/>
    <w:rsid w:val="00FA1749"/>
    <w:rsid w:val="00FA7C0D"/>
    <w:rsid w:val="00FB2131"/>
    <w:rsid w:val="00FC4DB6"/>
    <w:rsid w:val="00FC6599"/>
    <w:rsid w:val="00FC74BF"/>
    <w:rsid w:val="00FD0830"/>
    <w:rsid w:val="00FD2D45"/>
    <w:rsid w:val="00FD74E7"/>
    <w:rsid w:val="00FE043D"/>
    <w:rsid w:val="00FE5C1A"/>
    <w:rsid w:val="00FF0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CD4956-1BAD-4C38-96EE-3A503EC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585"/>
    <w:pPr>
      <w:spacing w:after="0" w:line="240" w:lineRule="auto"/>
    </w:pPr>
    <w:rPr>
      <w:sz w:val="24"/>
      <w:szCs w:val="24"/>
    </w:rPr>
  </w:style>
  <w:style w:type="paragraph" w:styleId="1">
    <w:name w:val="heading 1"/>
    <w:basedOn w:val="a0"/>
    <w:next w:val="a0"/>
    <w:link w:val="10"/>
    <w:uiPriority w:val="99"/>
    <w:qFormat/>
    <w:locked/>
    <w:rsid w:val="001C78CA"/>
    <w:pPr>
      <w:keepNext/>
      <w:numPr>
        <w:numId w:val="1"/>
      </w:numPr>
      <w:tabs>
        <w:tab w:val="center" w:pos="4111"/>
      </w:tabs>
      <w:autoSpaceDE w:val="0"/>
      <w:autoSpaceDN w:val="0"/>
      <w:spacing w:before="120"/>
      <w:outlineLvl w:val="0"/>
    </w:pPr>
    <w:rPr>
      <w:b/>
      <w:bCs/>
      <w:kern w:val="1"/>
      <w:sz w:val="20"/>
      <w:szCs w:val="20"/>
      <w:lang w:val="en-US"/>
    </w:rPr>
  </w:style>
  <w:style w:type="paragraph" w:styleId="2">
    <w:name w:val="heading 2"/>
    <w:basedOn w:val="a0"/>
    <w:next w:val="a0"/>
    <w:link w:val="20"/>
    <w:uiPriority w:val="99"/>
    <w:qFormat/>
    <w:locked/>
    <w:rsid w:val="001C78CA"/>
    <w:pPr>
      <w:keepNext/>
      <w:keepLines/>
      <w:numPr>
        <w:ilvl w:val="1"/>
        <w:numId w:val="1"/>
      </w:numPr>
      <w:shd w:val="pct5" w:color="auto" w:fill="auto"/>
      <w:autoSpaceDE w:val="0"/>
      <w:autoSpaceDN w:val="0"/>
      <w:spacing w:before="120" w:after="120"/>
      <w:outlineLvl w:val="1"/>
    </w:pPr>
    <w:rPr>
      <w:rFonts w:ascii="SchoolBook" w:hAnsi="SchoolBook" w:cs="SchoolBook"/>
      <w:b/>
      <w:bCs/>
      <w:kern w:val="20"/>
      <w:sz w:val="20"/>
      <w:szCs w:val="20"/>
    </w:rPr>
  </w:style>
  <w:style w:type="paragraph" w:styleId="3">
    <w:name w:val="heading 3"/>
    <w:basedOn w:val="a0"/>
    <w:next w:val="a0"/>
    <w:link w:val="30"/>
    <w:uiPriority w:val="9"/>
    <w:semiHidden/>
    <w:unhideWhenUsed/>
    <w:qFormat/>
    <w:locked/>
    <w:rsid w:val="003F53C2"/>
    <w:pPr>
      <w:keepNext/>
      <w:spacing w:before="240" w:after="60"/>
      <w:outlineLvl w:val="2"/>
    </w:pPr>
    <w:rPr>
      <w:rFonts w:asciiTheme="majorHAnsi" w:eastAsiaTheme="majorEastAsia" w:hAnsiTheme="majorHAnsi"/>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C78CA"/>
    <w:rPr>
      <w:rFonts w:cs="Times New Roman"/>
      <w:b/>
      <w:bCs/>
      <w:kern w:val="1"/>
      <w:sz w:val="20"/>
      <w:szCs w:val="20"/>
      <w:lang w:val="en-US"/>
    </w:rPr>
  </w:style>
  <w:style w:type="character" w:customStyle="1" w:styleId="20">
    <w:name w:val="Заголовок 2 Знак"/>
    <w:basedOn w:val="a1"/>
    <w:link w:val="2"/>
    <w:uiPriority w:val="99"/>
    <w:locked/>
    <w:rsid w:val="001C78CA"/>
    <w:rPr>
      <w:rFonts w:ascii="SchoolBook" w:hAnsi="SchoolBook" w:cs="SchoolBook"/>
      <w:b/>
      <w:bCs/>
      <w:kern w:val="20"/>
      <w:sz w:val="20"/>
      <w:szCs w:val="20"/>
      <w:shd w:val="pct5" w:color="auto" w:fill="auto"/>
    </w:rPr>
  </w:style>
  <w:style w:type="character" w:customStyle="1" w:styleId="30">
    <w:name w:val="Заголовок 3 Знак"/>
    <w:basedOn w:val="a1"/>
    <w:link w:val="3"/>
    <w:uiPriority w:val="9"/>
    <w:semiHidden/>
    <w:locked/>
    <w:rsid w:val="003F53C2"/>
    <w:rPr>
      <w:rFonts w:asciiTheme="majorHAnsi" w:eastAsiaTheme="majorEastAsia" w:hAnsiTheme="majorHAnsi" w:cs="Times New Roman"/>
      <w:b/>
      <w:bCs/>
      <w:sz w:val="26"/>
      <w:szCs w:val="26"/>
    </w:rPr>
  </w:style>
  <w:style w:type="paragraph" w:customStyle="1" w:styleId="ConsPlusNormal">
    <w:name w:val="ConsPlusNormal"/>
    <w:rsid w:val="00FA7C0D"/>
    <w:pPr>
      <w:widowControl w:val="0"/>
      <w:autoSpaceDE w:val="0"/>
      <w:autoSpaceDN w:val="0"/>
      <w:adjustRightInd w:val="0"/>
      <w:spacing w:after="0" w:line="240" w:lineRule="auto"/>
      <w:ind w:firstLine="720"/>
    </w:pPr>
    <w:rPr>
      <w:rFonts w:ascii="Arial" w:hAnsi="Arial" w:cs="Arial"/>
      <w:sz w:val="20"/>
      <w:szCs w:val="20"/>
    </w:rPr>
  </w:style>
  <w:style w:type="paragraph" w:styleId="a4">
    <w:name w:val="footer"/>
    <w:basedOn w:val="a0"/>
    <w:link w:val="a5"/>
    <w:uiPriority w:val="99"/>
    <w:rsid w:val="00CA5C84"/>
    <w:pPr>
      <w:tabs>
        <w:tab w:val="center" w:pos="4677"/>
        <w:tab w:val="right" w:pos="9355"/>
      </w:tabs>
    </w:pPr>
  </w:style>
  <w:style w:type="character" w:customStyle="1" w:styleId="a5">
    <w:name w:val="Нижний колонтитул Знак"/>
    <w:basedOn w:val="a1"/>
    <w:link w:val="a4"/>
    <w:uiPriority w:val="99"/>
    <w:semiHidden/>
    <w:locked/>
    <w:rsid w:val="00E630D6"/>
    <w:rPr>
      <w:rFonts w:cs="Times New Roman"/>
      <w:sz w:val="24"/>
      <w:szCs w:val="24"/>
    </w:rPr>
  </w:style>
  <w:style w:type="character" w:styleId="a6">
    <w:name w:val="page number"/>
    <w:basedOn w:val="a1"/>
    <w:uiPriority w:val="99"/>
    <w:rsid w:val="00CA5C84"/>
    <w:rPr>
      <w:rFonts w:cs="Times New Roman"/>
    </w:rPr>
  </w:style>
  <w:style w:type="paragraph" w:customStyle="1" w:styleId="ConsNormal">
    <w:name w:val="ConsNormal"/>
    <w:uiPriority w:val="99"/>
    <w:rsid w:val="000C0A28"/>
    <w:pPr>
      <w:widowControl w:val="0"/>
      <w:spacing w:after="0" w:line="240" w:lineRule="auto"/>
      <w:ind w:firstLine="720"/>
    </w:pPr>
    <w:rPr>
      <w:rFonts w:ascii="Arial" w:hAnsi="Arial"/>
      <w:sz w:val="20"/>
      <w:szCs w:val="20"/>
    </w:rPr>
  </w:style>
  <w:style w:type="table" w:styleId="a7">
    <w:name w:val="Table Grid"/>
    <w:basedOn w:val="a2"/>
    <w:uiPriority w:val="99"/>
    <w:rsid w:val="00AE44D8"/>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0"/>
    <w:uiPriority w:val="99"/>
    <w:qFormat/>
    <w:rsid w:val="007531F8"/>
    <w:pPr>
      <w:ind w:left="720"/>
      <w:contextualSpacing/>
    </w:pPr>
  </w:style>
  <w:style w:type="character" w:styleId="a9">
    <w:name w:val="annotation reference"/>
    <w:basedOn w:val="a1"/>
    <w:uiPriority w:val="99"/>
    <w:semiHidden/>
    <w:rsid w:val="00045BBD"/>
    <w:rPr>
      <w:rFonts w:cs="Times New Roman"/>
      <w:sz w:val="16"/>
      <w:szCs w:val="16"/>
    </w:rPr>
  </w:style>
  <w:style w:type="paragraph" w:styleId="aa">
    <w:name w:val="annotation text"/>
    <w:basedOn w:val="a0"/>
    <w:link w:val="ab"/>
    <w:uiPriority w:val="99"/>
    <w:semiHidden/>
    <w:rsid w:val="00045BBD"/>
    <w:rPr>
      <w:sz w:val="20"/>
      <w:szCs w:val="20"/>
    </w:rPr>
  </w:style>
  <w:style w:type="character" w:customStyle="1" w:styleId="ab">
    <w:name w:val="Текст примечания Знак"/>
    <w:basedOn w:val="a1"/>
    <w:link w:val="aa"/>
    <w:uiPriority w:val="99"/>
    <w:semiHidden/>
    <w:locked/>
    <w:rsid w:val="00045BBD"/>
    <w:rPr>
      <w:rFonts w:cs="Times New Roman"/>
      <w:sz w:val="20"/>
      <w:szCs w:val="20"/>
    </w:rPr>
  </w:style>
  <w:style w:type="paragraph" w:styleId="ac">
    <w:name w:val="annotation subject"/>
    <w:basedOn w:val="aa"/>
    <w:next w:val="aa"/>
    <w:link w:val="ad"/>
    <w:uiPriority w:val="99"/>
    <w:semiHidden/>
    <w:rsid w:val="00045BBD"/>
    <w:rPr>
      <w:b/>
      <w:bCs/>
    </w:rPr>
  </w:style>
  <w:style w:type="character" w:customStyle="1" w:styleId="ad">
    <w:name w:val="Тема примечания Знак"/>
    <w:basedOn w:val="ab"/>
    <w:link w:val="ac"/>
    <w:uiPriority w:val="99"/>
    <w:semiHidden/>
    <w:locked/>
    <w:rsid w:val="00045BBD"/>
    <w:rPr>
      <w:rFonts w:cs="Times New Roman"/>
      <w:b/>
      <w:bCs/>
      <w:sz w:val="20"/>
      <w:szCs w:val="20"/>
    </w:rPr>
  </w:style>
  <w:style w:type="paragraph" w:styleId="ae">
    <w:name w:val="Revision"/>
    <w:hidden/>
    <w:uiPriority w:val="99"/>
    <w:semiHidden/>
    <w:rsid w:val="00045BBD"/>
    <w:pPr>
      <w:spacing w:after="0" w:line="240" w:lineRule="auto"/>
    </w:pPr>
    <w:rPr>
      <w:sz w:val="24"/>
      <w:szCs w:val="24"/>
    </w:rPr>
  </w:style>
  <w:style w:type="paragraph" w:styleId="af">
    <w:name w:val="Balloon Text"/>
    <w:basedOn w:val="a0"/>
    <w:link w:val="af0"/>
    <w:uiPriority w:val="99"/>
    <w:semiHidden/>
    <w:rsid w:val="00045BBD"/>
    <w:rPr>
      <w:rFonts w:ascii="Tahoma" w:hAnsi="Tahoma" w:cs="Tahoma"/>
      <w:sz w:val="16"/>
      <w:szCs w:val="16"/>
    </w:rPr>
  </w:style>
  <w:style w:type="character" w:customStyle="1" w:styleId="af0">
    <w:name w:val="Текст выноски Знак"/>
    <w:basedOn w:val="a1"/>
    <w:link w:val="af"/>
    <w:uiPriority w:val="99"/>
    <w:semiHidden/>
    <w:locked/>
    <w:rsid w:val="00045BBD"/>
    <w:rPr>
      <w:rFonts w:ascii="Tahoma" w:hAnsi="Tahoma" w:cs="Tahoma"/>
      <w:sz w:val="16"/>
      <w:szCs w:val="16"/>
    </w:rPr>
  </w:style>
  <w:style w:type="paragraph" w:customStyle="1" w:styleId="4">
    <w:name w:val="Знак Знак4 Знак Знак"/>
    <w:basedOn w:val="a0"/>
    <w:uiPriority w:val="99"/>
    <w:rsid w:val="003810E5"/>
    <w:pPr>
      <w:spacing w:after="160" w:line="240" w:lineRule="exact"/>
    </w:pPr>
    <w:rPr>
      <w:rFonts w:ascii="Verdana" w:hAnsi="Verdana" w:cs="Verdana"/>
      <w:sz w:val="20"/>
      <w:szCs w:val="20"/>
      <w:lang w:val="en-US" w:eastAsia="en-US"/>
    </w:rPr>
  </w:style>
  <w:style w:type="paragraph" w:customStyle="1" w:styleId="prg3">
    <w:name w:val="prg3"/>
    <w:basedOn w:val="a0"/>
    <w:uiPriority w:val="99"/>
    <w:rsid w:val="001C78CA"/>
    <w:pPr>
      <w:numPr>
        <w:ilvl w:val="2"/>
        <w:numId w:val="1"/>
      </w:numPr>
      <w:tabs>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rPr>
  </w:style>
  <w:style w:type="paragraph" w:styleId="a">
    <w:name w:val="Normal Indent"/>
    <w:basedOn w:val="a0"/>
    <w:uiPriority w:val="99"/>
    <w:rsid w:val="001C78CA"/>
    <w:pPr>
      <w:numPr>
        <w:ilvl w:val="4"/>
        <w:numId w:val="1"/>
      </w:numPr>
      <w:autoSpaceDE w:val="0"/>
      <w:autoSpaceDN w:val="0"/>
    </w:pPr>
    <w:rPr>
      <w:sz w:val="20"/>
      <w:szCs w:val="20"/>
      <w:lang w:val="en-US"/>
    </w:rPr>
  </w:style>
  <w:style w:type="character" w:styleId="af1">
    <w:name w:val="Hyperlink"/>
    <w:basedOn w:val="a1"/>
    <w:uiPriority w:val="99"/>
    <w:unhideWhenUsed/>
    <w:rsid w:val="00F34535"/>
    <w:rPr>
      <w:rFonts w:cs="Times New Roman"/>
      <w:color w:val="0000FF" w:themeColor="hyperlink"/>
      <w:u w:val="single"/>
    </w:rPr>
  </w:style>
  <w:style w:type="paragraph" w:styleId="af2">
    <w:name w:val="Normal (Web)"/>
    <w:basedOn w:val="a0"/>
    <w:uiPriority w:val="99"/>
    <w:rsid w:val="00B476E2"/>
    <w:pPr>
      <w:spacing w:before="45" w:after="45"/>
    </w:pPr>
    <w:rPr>
      <w:rFonts w:ascii="Arial" w:hAnsi="Arial" w:cs="Arial"/>
      <w:sz w:val="16"/>
      <w:szCs w:val="16"/>
      <w:lang w:val="en-US" w:eastAsia="en-US"/>
    </w:rPr>
  </w:style>
  <w:style w:type="paragraph" w:customStyle="1" w:styleId="fieldname">
    <w:name w:val="field_name"/>
    <w:basedOn w:val="a0"/>
    <w:uiPriority w:val="99"/>
    <w:rsid w:val="003F53C2"/>
    <w:pPr>
      <w:spacing w:before="45" w:after="45"/>
      <w:jc w:val="right"/>
    </w:pPr>
    <w:rPr>
      <w:rFonts w:ascii="Arial" w:hAnsi="Arial" w:cs="Arial"/>
      <w:b/>
      <w:bCs/>
      <w:sz w:val="16"/>
      <w:szCs w:val="16"/>
      <w:lang w:val="en-US" w:eastAsia="en-US"/>
    </w:rPr>
  </w:style>
  <w:style w:type="paragraph" w:customStyle="1" w:styleId="fielddata">
    <w:name w:val="field_data"/>
    <w:basedOn w:val="a0"/>
    <w:uiPriority w:val="99"/>
    <w:rsid w:val="003F53C2"/>
    <w:pPr>
      <w:spacing w:before="45" w:after="45"/>
    </w:pPr>
    <w:rPr>
      <w:rFonts w:ascii="Arial" w:hAnsi="Arial" w:cs="Arial"/>
      <w:sz w:val="16"/>
      <w:szCs w:val="16"/>
      <w:lang w:val="en-US" w:eastAsia="en-US"/>
    </w:rPr>
  </w:style>
  <w:style w:type="character" w:customStyle="1" w:styleId="fieldcomment1">
    <w:name w:val="field_comment1"/>
    <w:uiPriority w:val="99"/>
    <w:rsid w:val="003F53C2"/>
    <w:rPr>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73893">
      <w:bodyDiv w:val="1"/>
      <w:marLeft w:val="0"/>
      <w:marRight w:val="0"/>
      <w:marTop w:val="0"/>
      <w:marBottom w:val="0"/>
      <w:divBdr>
        <w:top w:val="none" w:sz="0" w:space="0" w:color="auto"/>
        <w:left w:val="none" w:sz="0" w:space="0" w:color="auto"/>
        <w:bottom w:val="none" w:sz="0" w:space="0" w:color="auto"/>
        <w:right w:val="none" w:sz="0" w:space="0" w:color="auto"/>
      </w:divBdr>
    </w:div>
    <w:div w:id="1759863963">
      <w:marLeft w:val="0"/>
      <w:marRight w:val="0"/>
      <w:marTop w:val="0"/>
      <w:marBottom w:val="0"/>
      <w:divBdr>
        <w:top w:val="none" w:sz="0" w:space="0" w:color="auto"/>
        <w:left w:val="none" w:sz="0" w:space="0" w:color="auto"/>
        <w:bottom w:val="none" w:sz="0" w:space="0" w:color="auto"/>
        <w:right w:val="none" w:sz="0" w:space="0" w:color="auto"/>
      </w:divBdr>
    </w:div>
    <w:div w:id="1759863964">
      <w:marLeft w:val="0"/>
      <w:marRight w:val="0"/>
      <w:marTop w:val="0"/>
      <w:marBottom w:val="0"/>
      <w:divBdr>
        <w:top w:val="none" w:sz="0" w:space="0" w:color="auto"/>
        <w:left w:val="none" w:sz="0" w:space="0" w:color="auto"/>
        <w:bottom w:val="none" w:sz="0" w:space="0" w:color="auto"/>
        <w:right w:val="none" w:sz="0" w:space="0" w:color="auto"/>
      </w:divBdr>
    </w:div>
    <w:div w:id="1759863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9117-1B05-4B00-9708-A74E0F505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7587E-3B39-465F-917A-9D6EFD447732}">
  <ds:schemaRefs>
    <ds:schemaRef ds:uri="http://schemas.microsoft.com/sharepoint/v3/contenttype/forms"/>
  </ds:schemaRefs>
</ds:datastoreItem>
</file>

<file path=customXml/itemProps3.xml><?xml version="1.0" encoding="utf-8"?>
<ds:datastoreItem xmlns:ds="http://schemas.openxmlformats.org/officeDocument/2006/customXml" ds:itemID="{72101341-B5BE-4C25-A9FF-EDDF40F69ADC}">
  <ds:schemaRefs>
    <ds:schemaRef ds:uri="http://purl.org/dc/term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983E00A-C444-49FF-883D-DF97EF0A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2059</Words>
  <Characters>14929</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ИЗМЕНЕНИЯ И ДОПОЛНЕНИЯ № 2</vt:lpstr>
    </vt:vector>
  </TitlesOfParts>
  <Company>Home</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creator>Home</dc:creator>
  <cp:lastModifiedBy>Екатерина Табарча</cp:lastModifiedBy>
  <cp:revision>2</cp:revision>
  <cp:lastPrinted>2019-12-12T13:12:00Z</cp:lastPrinted>
  <dcterms:created xsi:type="dcterms:W3CDTF">2023-12-15T12:17:00Z</dcterms:created>
  <dcterms:modified xsi:type="dcterms:W3CDTF">2023-12-15T12:17:00Z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